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1B7C9E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1B7C9E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00586364"/>
            <w:bookmarkStart w:id="1" w:name="_GoBack"/>
            <w:bookmarkEnd w:id="0"/>
            <w:bookmarkEnd w:id="1"/>
            <w:r w:rsidRPr="001B7C9E">
              <w:rPr>
                <w:rFonts w:ascii="AdvP6960" w:hAnsi="AdvP6960" w:cs="AdvP6960"/>
                <w:noProof/>
                <w:color w:val="241F20"/>
                <w:szCs w:val="18"/>
                <w:lang w:val="en-US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C9E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1B7C9E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1B7C9E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1B7C9E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1B7C9E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1B7C9E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65D5BBBB" w:rsidR="000A03B2" w:rsidRPr="001B7C9E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1B7C9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D46B7E" w:rsidRPr="001B7C9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  <w:r w:rsidR="001D21AF" w:rsidRPr="001B7C9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7B48F9" w:rsidRPr="001B7C9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 w:rsidRPr="001B7C9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20</w:t>
            </w:r>
            <w:r w:rsidR="00DF5072" w:rsidRPr="001B7C9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7B48F9" w:rsidRPr="001B7C9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1B7C9E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1B7C9E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1B7C9E" w:rsidRDefault="000A03B2" w:rsidP="00CD5FE2">
            <w:pPr>
              <w:jc w:val="right"/>
            </w:pPr>
            <w:r w:rsidRPr="001B7C9E">
              <w:rPr>
                <w:noProof/>
                <w:lang w:val="en-US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1B7C9E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1B7C9E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1B7C9E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1B7C9E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1B7C9E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1B7C9E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1B7C9E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1B7C9E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1B7C9E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4B0BB442" w14:textId="14967F0F" w:rsidR="00300E56" w:rsidRPr="00ED21AF" w:rsidRDefault="00300E56" w:rsidP="00B57E6F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ED21AF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Guest </w:t>
            </w:r>
            <w:proofErr w:type="spellStart"/>
            <w:r w:rsidRPr="00ED21AF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Editors</w:t>
            </w:r>
            <w:proofErr w:type="spellEnd"/>
            <w:r w:rsidRPr="00ED21AF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:</w:t>
            </w:r>
            <w:r w:rsidR="001D21AF" w:rsidRPr="00ED21A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Rubens Maciel Filho</w:t>
            </w:r>
            <w:r w:rsidR="00964A45" w:rsidRPr="00ED21A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, Eliseo Ranzi, Leonardo </w:t>
            </w:r>
            <w:proofErr w:type="spellStart"/>
            <w:r w:rsidR="00964A45" w:rsidRPr="00ED21A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Tognotti</w:t>
            </w:r>
            <w:proofErr w:type="spellEnd"/>
          </w:p>
          <w:p w14:paraId="1B0F1814" w14:textId="4A78A049" w:rsidR="000A03B2" w:rsidRPr="001B7C9E" w:rsidRDefault="00FA5F5F" w:rsidP="001D21AF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</w:t>
            </w:r>
            <w:r w:rsidR="00DF5072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E72EAD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904C62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1B7C9E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1B7C9E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B7C9E">
              <w:rPr>
                <w:rFonts w:ascii="Tahoma" w:hAnsi="Tahoma" w:cs="Tahoma"/>
                <w:sz w:val="14"/>
                <w:szCs w:val="14"/>
              </w:rPr>
              <w:t>978-88-95608</w:t>
            </w:r>
            <w:r w:rsidR="00D46B7E" w:rsidRPr="001B7C9E">
              <w:rPr>
                <w:rFonts w:ascii="Tahoma" w:hAnsi="Tahoma" w:cs="Tahoma"/>
                <w:sz w:val="14"/>
                <w:szCs w:val="14"/>
              </w:rPr>
              <w:t>-</w:t>
            </w:r>
            <w:r w:rsidR="001D21AF" w:rsidRPr="001B7C9E">
              <w:rPr>
                <w:rFonts w:ascii="Tahoma" w:hAnsi="Tahoma" w:cs="Tahoma"/>
                <w:sz w:val="14"/>
                <w:szCs w:val="14"/>
              </w:rPr>
              <w:t>90</w:t>
            </w:r>
            <w:r w:rsidR="00D46B7E" w:rsidRPr="001B7C9E">
              <w:rPr>
                <w:rFonts w:ascii="Tahoma" w:hAnsi="Tahoma" w:cs="Tahoma"/>
                <w:sz w:val="14"/>
                <w:szCs w:val="14"/>
              </w:rPr>
              <w:t>-</w:t>
            </w:r>
            <w:r w:rsidR="001D21AF" w:rsidRPr="001B7C9E">
              <w:rPr>
                <w:rFonts w:ascii="Tahoma" w:hAnsi="Tahoma" w:cs="Tahoma"/>
                <w:sz w:val="14"/>
                <w:szCs w:val="14"/>
              </w:rPr>
              <w:t>7</w:t>
            </w:r>
            <w:r w:rsidR="007B48F9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1B7C9E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1B7C9E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0DAA130" w14:textId="77777777" w:rsidR="000A03B2" w:rsidRPr="001B7C9E" w:rsidRDefault="000A03B2" w:rsidP="000A03B2">
      <w:pPr>
        <w:pStyle w:val="CETAuthors"/>
        <w:sectPr w:rsidR="000A03B2" w:rsidRPr="001B7C9E" w:rsidSect="00CD5FE2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615EE1BE" w14:textId="1504396A" w:rsidR="00444050" w:rsidRPr="001B7C9E" w:rsidRDefault="00444050" w:rsidP="00444050">
      <w:pPr>
        <w:pStyle w:val="CETAuthors"/>
        <w:jc w:val="center"/>
        <w:rPr>
          <w:noProof w:val="0"/>
          <w:sz w:val="32"/>
        </w:rPr>
      </w:pPr>
      <w:r w:rsidRPr="001B7C9E">
        <w:rPr>
          <w:noProof w:val="0"/>
          <w:sz w:val="32"/>
        </w:rPr>
        <w:t xml:space="preserve">Hydrothermal </w:t>
      </w:r>
      <w:r w:rsidR="000B52E5">
        <w:rPr>
          <w:noProof w:val="0"/>
          <w:sz w:val="32"/>
        </w:rPr>
        <w:t>L</w:t>
      </w:r>
      <w:r w:rsidR="000B52E5" w:rsidRPr="001B7C9E">
        <w:rPr>
          <w:noProof w:val="0"/>
          <w:sz w:val="32"/>
        </w:rPr>
        <w:t xml:space="preserve">iquefaction </w:t>
      </w:r>
      <w:r w:rsidR="000B52E5">
        <w:rPr>
          <w:noProof w:val="0"/>
          <w:sz w:val="32"/>
        </w:rPr>
        <w:t>P</w:t>
      </w:r>
      <w:r w:rsidR="000B52E5" w:rsidRPr="001B7C9E">
        <w:rPr>
          <w:noProof w:val="0"/>
          <w:sz w:val="32"/>
        </w:rPr>
        <w:t xml:space="preserve">rocess </w:t>
      </w:r>
      <w:r w:rsidRPr="001B7C9E">
        <w:rPr>
          <w:noProof w:val="0"/>
          <w:sz w:val="32"/>
        </w:rPr>
        <w:t xml:space="preserve">to </w:t>
      </w:r>
      <w:r w:rsidR="000B52E5">
        <w:rPr>
          <w:noProof w:val="0"/>
          <w:sz w:val="32"/>
        </w:rPr>
        <w:t>O</w:t>
      </w:r>
      <w:r w:rsidR="000B52E5" w:rsidRPr="001B7C9E">
        <w:rPr>
          <w:noProof w:val="0"/>
          <w:sz w:val="32"/>
        </w:rPr>
        <w:t xml:space="preserve">btain </w:t>
      </w:r>
      <w:r w:rsidR="000B52E5">
        <w:rPr>
          <w:noProof w:val="0"/>
          <w:sz w:val="32"/>
        </w:rPr>
        <w:t>S</w:t>
      </w:r>
      <w:r w:rsidR="000B52E5" w:rsidRPr="001B7C9E">
        <w:rPr>
          <w:noProof w:val="0"/>
          <w:sz w:val="32"/>
        </w:rPr>
        <w:t>ludge</w:t>
      </w:r>
      <w:r w:rsidRPr="001B7C9E">
        <w:rPr>
          <w:noProof w:val="0"/>
          <w:sz w:val="32"/>
        </w:rPr>
        <w:t>-</w:t>
      </w:r>
      <w:r w:rsidR="000B52E5">
        <w:rPr>
          <w:noProof w:val="0"/>
          <w:sz w:val="32"/>
        </w:rPr>
        <w:t>D</w:t>
      </w:r>
      <w:r w:rsidR="000B52E5" w:rsidRPr="001B7C9E">
        <w:rPr>
          <w:noProof w:val="0"/>
          <w:sz w:val="32"/>
        </w:rPr>
        <w:t xml:space="preserve">erived </w:t>
      </w:r>
      <w:r w:rsidR="000B52E5">
        <w:rPr>
          <w:noProof w:val="0"/>
          <w:sz w:val="32"/>
        </w:rPr>
        <w:t>B</w:t>
      </w:r>
      <w:r w:rsidR="000B52E5" w:rsidRPr="001B7C9E">
        <w:rPr>
          <w:noProof w:val="0"/>
          <w:sz w:val="32"/>
        </w:rPr>
        <w:t>io</w:t>
      </w:r>
      <w:r w:rsidRPr="001B7C9E">
        <w:rPr>
          <w:noProof w:val="0"/>
          <w:sz w:val="32"/>
        </w:rPr>
        <w:t>-</w:t>
      </w:r>
      <w:r w:rsidR="000B52E5">
        <w:rPr>
          <w:noProof w:val="0"/>
          <w:sz w:val="32"/>
        </w:rPr>
        <w:t>F</w:t>
      </w:r>
      <w:r w:rsidR="000B52E5" w:rsidRPr="001B7C9E">
        <w:rPr>
          <w:noProof w:val="0"/>
          <w:sz w:val="32"/>
        </w:rPr>
        <w:t>uels</w:t>
      </w:r>
      <w:r w:rsidRPr="001B7C9E">
        <w:rPr>
          <w:noProof w:val="0"/>
          <w:sz w:val="32"/>
        </w:rPr>
        <w:t xml:space="preserve">: </w:t>
      </w:r>
      <w:r w:rsidR="000B52E5">
        <w:rPr>
          <w:noProof w:val="0"/>
          <w:sz w:val="32"/>
        </w:rPr>
        <w:t>S</w:t>
      </w:r>
      <w:r w:rsidR="000B52E5" w:rsidRPr="001B7C9E">
        <w:rPr>
          <w:noProof w:val="0"/>
          <w:sz w:val="32"/>
        </w:rPr>
        <w:t xml:space="preserve">etup </w:t>
      </w:r>
      <w:r w:rsidRPr="001B7C9E">
        <w:rPr>
          <w:noProof w:val="0"/>
          <w:sz w:val="32"/>
        </w:rPr>
        <w:t xml:space="preserve">of the </w:t>
      </w:r>
      <w:r w:rsidR="000B52E5">
        <w:rPr>
          <w:noProof w:val="0"/>
          <w:sz w:val="32"/>
        </w:rPr>
        <w:t>E</w:t>
      </w:r>
      <w:r w:rsidR="000B52E5" w:rsidRPr="001B7C9E">
        <w:rPr>
          <w:noProof w:val="0"/>
          <w:sz w:val="32"/>
        </w:rPr>
        <w:t xml:space="preserve">xperimental </w:t>
      </w:r>
      <w:r w:rsidR="000B52E5">
        <w:rPr>
          <w:noProof w:val="0"/>
          <w:sz w:val="32"/>
        </w:rPr>
        <w:t>A</w:t>
      </w:r>
      <w:r w:rsidR="000B52E5" w:rsidRPr="001B7C9E">
        <w:rPr>
          <w:noProof w:val="0"/>
          <w:sz w:val="32"/>
        </w:rPr>
        <w:t xml:space="preserve">pparatus </w:t>
      </w:r>
      <w:r w:rsidRPr="001B7C9E">
        <w:rPr>
          <w:noProof w:val="0"/>
          <w:sz w:val="32"/>
        </w:rPr>
        <w:t xml:space="preserve">and </w:t>
      </w:r>
      <w:r w:rsidR="000B52E5">
        <w:rPr>
          <w:noProof w:val="0"/>
          <w:sz w:val="32"/>
        </w:rPr>
        <w:t>P</w:t>
      </w:r>
      <w:r w:rsidR="000B52E5" w:rsidRPr="001B7C9E">
        <w:rPr>
          <w:noProof w:val="0"/>
          <w:sz w:val="32"/>
        </w:rPr>
        <w:t xml:space="preserve">reliminary </w:t>
      </w:r>
      <w:r w:rsidR="000B52E5">
        <w:rPr>
          <w:noProof w:val="0"/>
          <w:sz w:val="32"/>
        </w:rPr>
        <w:t>T</w:t>
      </w:r>
      <w:r w:rsidR="000B52E5" w:rsidRPr="001B7C9E">
        <w:rPr>
          <w:noProof w:val="0"/>
          <w:sz w:val="32"/>
        </w:rPr>
        <w:t>ests</w:t>
      </w:r>
    </w:p>
    <w:p w14:paraId="0488FED2" w14:textId="3E270296" w:rsidR="00B57E6F" w:rsidRPr="00ED21AF" w:rsidRDefault="007C3FBB" w:rsidP="00B57E6F">
      <w:pPr>
        <w:pStyle w:val="CETAuthors"/>
        <w:rPr>
          <w:lang w:val="it-IT"/>
        </w:rPr>
      </w:pPr>
      <w:r w:rsidRPr="00ED21AF">
        <w:rPr>
          <w:lang w:val="it-IT"/>
        </w:rPr>
        <w:t>Francesca Di Lauro</w:t>
      </w:r>
      <w:r w:rsidR="00B57E6F" w:rsidRPr="00ED21AF">
        <w:rPr>
          <w:vertAlign w:val="superscript"/>
          <w:lang w:val="it-IT"/>
        </w:rPr>
        <w:t>a</w:t>
      </w:r>
      <w:r w:rsidR="00B57E6F" w:rsidRPr="00ED21AF">
        <w:rPr>
          <w:lang w:val="it-IT"/>
        </w:rPr>
        <w:t xml:space="preserve">, </w:t>
      </w:r>
      <w:r w:rsidRPr="00ED21AF">
        <w:rPr>
          <w:lang w:val="it-IT"/>
        </w:rPr>
        <w:t>Marco Balsamo</w:t>
      </w:r>
      <w:r w:rsidRPr="00ED21AF">
        <w:rPr>
          <w:vertAlign w:val="superscript"/>
          <w:lang w:val="it-IT"/>
        </w:rPr>
        <w:t>a</w:t>
      </w:r>
      <w:r w:rsidRPr="00ED21AF">
        <w:rPr>
          <w:lang w:val="it-IT"/>
        </w:rPr>
        <w:t>, Roberto Solimene</w:t>
      </w:r>
      <w:r w:rsidR="00B57E6F" w:rsidRPr="00ED21AF">
        <w:rPr>
          <w:vertAlign w:val="superscript"/>
          <w:lang w:val="it-IT"/>
        </w:rPr>
        <w:t>b,</w:t>
      </w:r>
      <w:r w:rsidR="00B57E6F" w:rsidRPr="00ED21AF">
        <w:rPr>
          <w:lang w:val="it-IT"/>
        </w:rPr>
        <w:t>*,</w:t>
      </w:r>
      <w:r w:rsidRPr="00ED21AF">
        <w:rPr>
          <w:lang w:val="it-IT"/>
        </w:rPr>
        <w:t xml:space="preserve"> Piero Salatino</w:t>
      </w:r>
      <w:r w:rsidRPr="00ED21AF">
        <w:rPr>
          <w:vertAlign w:val="superscript"/>
          <w:lang w:val="it-IT"/>
        </w:rPr>
        <w:t>c</w:t>
      </w:r>
      <w:r w:rsidRPr="00ED21AF">
        <w:rPr>
          <w:lang w:val="it-IT"/>
        </w:rPr>
        <w:t xml:space="preserve">, </w:t>
      </w:r>
      <w:r w:rsidR="00824A6F">
        <w:rPr>
          <w:lang w:val="it-IT"/>
        </w:rPr>
        <w:t xml:space="preserve">   </w:t>
      </w:r>
      <w:r w:rsidRPr="00ED21AF">
        <w:rPr>
          <w:lang w:val="it-IT"/>
        </w:rPr>
        <w:t>Fabio Montagnaro</w:t>
      </w:r>
      <w:r w:rsidRPr="00ED21AF">
        <w:rPr>
          <w:vertAlign w:val="superscript"/>
          <w:lang w:val="it-IT"/>
        </w:rPr>
        <w:t>a</w:t>
      </w:r>
      <w:r w:rsidRPr="00ED21AF">
        <w:rPr>
          <w:lang w:val="it-IT"/>
        </w:rPr>
        <w:t>.</w:t>
      </w:r>
    </w:p>
    <w:p w14:paraId="6B2D21B3" w14:textId="735F3783" w:rsidR="00B57E6F" w:rsidRPr="00ED21AF" w:rsidRDefault="00B57E6F" w:rsidP="00751483">
      <w:pPr>
        <w:pStyle w:val="CETAddress"/>
        <w:jc w:val="both"/>
        <w:rPr>
          <w:lang w:val="it-IT"/>
        </w:rPr>
      </w:pPr>
      <w:r w:rsidRPr="00ED21AF">
        <w:rPr>
          <w:vertAlign w:val="superscript"/>
          <w:lang w:val="it-IT"/>
        </w:rPr>
        <w:t>a</w:t>
      </w:r>
      <w:r w:rsidR="00751483" w:rsidRPr="00ED21AF">
        <w:rPr>
          <w:lang w:val="it-IT"/>
        </w:rPr>
        <w:t>Dipartimento di Scienze Chimiche, Università degli Studi di Napoli Federico II, Complesso Universitario di Monte Sant’Angelo, 80126 Napoli, Italy</w:t>
      </w:r>
    </w:p>
    <w:p w14:paraId="3D72B0B0" w14:textId="544BA346" w:rsidR="00B57E6F" w:rsidRPr="00ED21AF" w:rsidRDefault="00B57E6F" w:rsidP="00751483">
      <w:pPr>
        <w:pStyle w:val="CETAddress"/>
        <w:jc w:val="both"/>
        <w:rPr>
          <w:lang w:val="it-IT"/>
        </w:rPr>
      </w:pPr>
      <w:r w:rsidRPr="00ED21AF">
        <w:rPr>
          <w:vertAlign w:val="superscript"/>
          <w:lang w:val="it-IT"/>
        </w:rPr>
        <w:t>b</w:t>
      </w:r>
      <w:r w:rsidR="00751483" w:rsidRPr="00ED21AF">
        <w:rPr>
          <w:lang w:val="it-IT"/>
        </w:rPr>
        <w:t>Istituto di Scienze e Tecnologie per l’Energia e la Mobilità Sostenibili, Consiglio Nazionale delle Ricerche, Piazzale V. Tecchio 80, 80125 Napoli, Italy</w:t>
      </w:r>
    </w:p>
    <w:p w14:paraId="74C3A545" w14:textId="50D376E1" w:rsidR="00751483" w:rsidRPr="00ED21AF" w:rsidRDefault="00751483" w:rsidP="00EC1F62">
      <w:pPr>
        <w:pStyle w:val="CETAddress"/>
        <w:rPr>
          <w:lang w:val="it-IT"/>
        </w:rPr>
      </w:pPr>
      <w:r w:rsidRPr="00ED21AF">
        <w:rPr>
          <w:vertAlign w:val="superscript"/>
          <w:lang w:val="it-IT"/>
        </w:rPr>
        <w:t>c</w:t>
      </w:r>
      <w:r w:rsidR="00EC1F62" w:rsidRPr="00ED21AF">
        <w:rPr>
          <w:lang w:val="it-IT"/>
        </w:rPr>
        <w:t>Dipartimento di Ingegneria Chimica, dei Materiali e della Produzione Industriale, Università degli Studi di Napoli Federico II, Piazzale V. Tecchio 80, 80125 Napoli, Italy</w:t>
      </w:r>
    </w:p>
    <w:p w14:paraId="1AAEC668" w14:textId="5DAAC450" w:rsidR="00EC1F62" w:rsidRPr="001B7C9E" w:rsidRDefault="007A5494" w:rsidP="001A58EF">
      <w:pPr>
        <w:pStyle w:val="CETemail"/>
        <w:spacing w:after="200"/>
        <w:jc w:val="both"/>
      </w:pPr>
      <w:hyperlink r:id="rId10" w:history="1">
        <w:r w:rsidR="00EC1F62" w:rsidRPr="001B7C9E">
          <w:rPr>
            <w:rStyle w:val="Collegamentoipertestuale"/>
          </w:rPr>
          <w:t>roberto.solimene@stems.cnr.it</w:t>
        </w:r>
      </w:hyperlink>
    </w:p>
    <w:p w14:paraId="199359D1" w14:textId="5E67031B" w:rsidR="00997210" w:rsidRPr="00B333FD" w:rsidRDefault="007C1E92" w:rsidP="00A2161A">
      <w:pPr>
        <w:pStyle w:val="CETBodytext"/>
        <w:rPr>
          <w:lang w:val="en-GB"/>
        </w:rPr>
      </w:pPr>
      <w:r w:rsidRPr="007C1E92">
        <w:rPr>
          <w:lang w:val="en-GB"/>
        </w:rPr>
        <w:t xml:space="preserve">The </w:t>
      </w:r>
      <w:r w:rsidR="00E86332">
        <w:rPr>
          <w:lang w:val="en-GB"/>
        </w:rPr>
        <w:t>increasing</w:t>
      </w:r>
      <w:r w:rsidRPr="007C1E92">
        <w:rPr>
          <w:lang w:val="en-GB"/>
        </w:rPr>
        <w:t xml:space="preserve"> interest</w:t>
      </w:r>
      <w:r>
        <w:rPr>
          <w:lang w:val="en-GB"/>
        </w:rPr>
        <w:t xml:space="preserve"> i</w:t>
      </w:r>
      <w:r w:rsidR="00E86332">
        <w:rPr>
          <w:lang w:val="en-GB"/>
        </w:rPr>
        <w:t>n renewable energies</w:t>
      </w:r>
      <w:r w:rsidR="00A814D8">
        <w:rPr>
          <w:lang w:val="en-GB"/>
        </w:rPr>
        <w:t xml:space="preserve"> sources, </w:t>
      </w:r>
      <w:r w:rsidR="00A814D8" w:rsidRPr="00D915A9">
        <w:rPr>
          <w:lang w:val="en-GB"/>
        </w:rPr>
        <w:t>alternative to traditional fossil fuels</w:t>
      </w:r>
      <w:r w:rsidR="00A814D8">
        <w:rPr>
          <w:lang w:val="en-GB"/>
        </w:rPr>
        <w:t>,</w:t>
      </w:r>
      <w:r w:rsidR="00E86332">
        <w:rPr>
          <w:lang w:val="en-GB"/>
        </w:rPr>
        <w:t xml:space="preserve"> </w:t>
      </w:r>
      <w:r w:rsidR="00A814D8">
        <w:rPr>
          <w:lang w:val="en-GB"/>
        </w:rPr>
        <w:t xml:space="preserve">is justified </w:t>
      </w:r>
      <w:r w:rsidR="00824A6F">
        <w:rPr>
          <w:lang w:val="en-GB"/>
        </w:rPr>
        <w:t xml:space="preserve">by </w:t>
      </w:r>
      <w:r w:rsidR="00A814D8">
        <w:rPr>
          <w:lang w:val="en-GB"/>
        </w:rPr>
        <w:t xml:space="preserve">both </w:t>
      </w:r>
      <w:r w:rsidR="00D915A9" w:rsidRPr="00D915A9">
        <w:rPr>
          <w:lang w:val="en-GB"/>
        </w:rPr>
        <w:t>the growing energy demand</w:t>
      </w:r>
      <w:r w:rsidR="00A814D8">
        <w:rPr>
          <w:lang w:val="en-GB"/>
        </w:rPr>
        <w:t xml:space="preserve"> and</w:t>
      </w:r>
      <w:r w:rsidR="00D915A9" w:rsidRPr="00D915A9">
        <w:rPr>
          <w:lang w:val="en-GB"/>
        </w:rPr>
        <w:t xml:space="preserve"> </w:t>
      </w:r>
      <w:r w:rsidR="00824A6F">
        <w:rPr>
          <w:lang w:val="en-GB"/>
        </w:rPr>
        <w:t xml:space="preserve">the </w:t>
      </w:r>
      <w:r w:rsidR="00A814D8">
        <w:rPr>
          <w:lang w:val="en-GB"/>
        </w:rPr>
        <w:t>necessity to reduce greenhouse gases emissions related to the power sector</w:t>
      </w:r>
      <w:r w:rsidR="00D915A9">
        <w:rPr>
          <w:lang w:val="en-GB"/>
        </w:rPr>
        <w:t>.</w:t>
      </w:r>
      <w:r w:rsidR="00984186">
        <w:rPr>
          <w:lang w:val="en-GB"/>
        </w:rPr>
        <w:t xml:space="preserve"> </w:t>
      </w:r>
      <w:r w:rsidR="00984186" w:rsidRPr="00984186">
        <w:rPr>
          <w:lang w:val="en-GB"/>
        </w:rPr>
        <w:t xml:space="preserve">In this context, the production of </w:t>
      </w:r>
      <w:r w:rsidR="00DE27C0">
        <w:rPr>
          <w:lang w:val="en-GB"/>
        </w:rPr>
        <w:t xml:space="preserve">bio-oil (or bio-crude) as liquid fuel </w:t>
      </w:r>
      <w:r w:rsidR="00984186" w:rsidRPr="00984186">
        <w:rPr>
          <w:lang w:val="en-GB"/>
        </w:rPr>
        <w:t xml:space="preserve">through the innovative </w:t>
      </w:r>
      <w:r w:rsidR="006A6C8A" w:rsidRPr="00984186">
        <w:rPr>
          <w:lang w:val="en-GB"/>
        </w:rPr>
        <w:t>hydrothermal liquefaction</w:t>
      </w:r>
      <w:r w:rsidR="006A6C8A">
        <w:rPr>
          <w:lang w:val="en-GB"/>
        </w:rPr>
        <w:t xml:space="preserve"> (HTL)</w:t>
      </w:r>
      <w:r w:rsidR="00DE27C0">
        <w:rPr>
          <w:lang w:val="en-GB"/>
        </w:rPr>
        <w:t xml:space="preserve"> </w:t>
      </w:r>
      <w:r w:rsidR="00DE27C0" w:rsidRPr="00984186">
        <w:rPr>
          <w:lang w:val="en-GB"/>
        </w:rPr>
        <w:t>process</w:t>
      </w:r>
      <w:r w:rsidR="00824A6F">
        <w:rPr>
          <w:lang w:val="en-GB"/>
        </w:rPr>
        <w:t xml:space="preserve"> </w:t>
      </w:r>
      <w:r w:rsidR="00984186">
        <w:rPr>
          <w:lang w:val="en-GB"/>
        </w:rPr>
        <w:t>is of particular interest,</w:t>
      </w:r>
      <w:r w:rsidR="00984186" w:rsidRPr="00984186">
        <w:rPr>
          <w:lang w:val="en-GB"/>
        </w:rPr>
        <w:t xml:space="preserve"> especially when applied to biomass with high water content</w:t>
      </w:r>
      <w:r w:rsidR="00984186">
        <w:rPr>
          <w:lang w:val="en-GB"/>
        </w:rPr>
        <w:t xml:space="preserve">. </w:t>
      </w:r>
      <w:r w:rsidR="00271C9D">
        <w:rPr>
          <w:lang w:val="en-GB"/>
        </w:rPr>
        <w:t>I</w:t>
      </w:r>
      <w:r w:rsidR="00984186" w:rsidRPr="00984186">
        <w:rPr>
          <w:lang w:val="en-GB"/>
        </w:rPr>
        <w:t>n fact, wat</w:t>
      </w:r>
      <w:r w:rsidR="00271C9D">
        <w:rPr>
          <w:lang w:val="en-GB"/>
        </w:rPr>
        <w:t xml:space="preserve">er is in sub-critical </w:t>
      </w:r>
      <w:r w:rsidR="00A2161A">
        <w:rPr>
          <w:lang w:val="en-GB"/>
        </w:rPr>
        <w:t xml:space="preserve">state under typical HTL conditions </w:t>
      </w:r>
      <w:r w:rsidR="00271C9D">
        <w:rPr>
          <w:lang w:val="en-GB"/>
        </w:rPr>
        <w:t>and act</w:t>
      </w:r>
      <w:r w:rsidR="00824A6F">
        <w:rPr>
          <w:lang w:val="en-GB"/>
        </w:rPr>
        <w:t>s</w:t>
      </w:r>
      <w:r w:rsidR="00271C9D">
        <w:rPr>
          <w:lang w:val="en-GB"/>
        </w:rPr>
        <w:t xml:space="preserve"> as solvent, </w:t>
      </w:r>
      <w:r w:rsidR="00824A6F">
        <w:rPr>
          <w:lang w:val="en-GB"/>
        </w:rPr>
        <w:t>catalyst,</w:t>
      </w:r>
      <w:r w:rsidR="00271C9D">
        <w:rPr>
          <w:lang w:val="en-GB"/>
        </w:rPr>
        <w:t xml:space="preserve"> and reaction medium. Therefore, </w:t>
      </w:r>
      <w:r w:rsidR="00824A6F">
        <w:rPr>
          <w:lang w:val="en-GB"/>
        </w:rPr>
        <w:t>HTL</w:t>
      </w:r>
      <w:r w:rsidR="00271C9D">
        <w:rPr>
          <w:lang w:val="en-GB"/>
        </w:rPr>
        <w:t xml:space="preserve"> allows to exploit the water content of biomass, thus avoiding the high energy demand</w:t>
      </w:r>
      <w:r w:rsidR="00ED21AF">
        <w:rPr>
          <w:lang w:val="en-GB"/>
        </w:rPr>
        <w:t xml:space="preserve"> of</w:t>
      </w:r>
      <w:r w:rsidR="002A1B74">
        <w:rPr>
          <w:lang w:val="en-GB"/>
        </w:rPr>
        <w:t xml:space="preserve"> </w:t>
      </w:r>
      <w:r w:rsidR="00A2161A">
        <w:rPr>
          <w:lang w:val="en-GB"/>
        </w:rPr>
        <w:t xml:space="preserve">the </w:t>
      </w:r>
      <w:r w:rsidR="002A1B74">
        <w:rPr>
          <w:lang w:val="en-GB"/>
        </w:rPr>
        <w:t xml:space="preserve">dewatering step </w:t>
      </w:r>
      <w:r w:rsidR="00A2161A">
        <w:rPr>
          <w:lang w:val="en-GB"/>
        </w:rPr>
        <w:t xml:space="preserve">associated with </w:t>
      </w:r>
      <w:r w:rsidR="00271C9D">
        <w:rPr>
          <w:lang w:val="en-GB"/>
        </w:rPr>
        <w:t xml:space="preserve">other </w:t>
      </w:r>
      <w:r w:rsidR="00A2161A">
        <w:rPr>
          <w:lang w:val="en-GB"/>
        </w:rPr>
        <w:t>thermo-chemical processes</w:t>
      </w:r>
      <w:r w:rsidR="00271C9D">
        <w:rPr>
          <w:lang w:val="en-GB"/>
        </w:rPr>
        <w:t xml:space="preserve"> (</w:t>
      </w:r>
      <w:r w:rsidR="001F50F8">
        <w:rPr>
          <w:lang w:val="en-GB"/>
        </w:rPr>
        <w:t>e.g.,</w:t>
      </w:r>
      <w:r w:rsidR="00271C9D">
        <w:rPr>
          <w:lang w:val="en-GB"/>
        </w:rPr>
        <w:t xml:space="preserve"> gasification, pyrolysis, etc.)</w:t>
      </w:r>
      <w:r w:rsidR="002A1B74">
        <w:rPr>
          <w:lang w:val="en-GB"/>
        </w:rPr>
        <w:t xml:space="preserve">. </w:t>
      </w:r>
      <w:r w:rsidR="00A2161A">
        <w:rPr>
          <w:lang w:val="en-GB"/>
        </w:rPr>
        <w:t>For the</w:t>
      </w:r>
      <w:r w:rsidR="002A1B74" w:rsidRPr="002A1B74">
        <w:rPr>
          <w:lang w:val="en-GB"/>
        </w:rPr>
        <w:t xml:space="preserve"> HTL process</w:t>
      </w:r>
      <w:r w:rsidR="00A2161A">
        <w:rPr>
          <w:lang w:val="en-GB"/>
        </w:rPr>
        <w:t xml:space="preserve"> performed</w:t>
      </w:r>
      <w:r w:rsidR="002A1B74" w:rsidRPr="002A1B74">
        <w:rPr>
          <w:lang w:val="en-GB"/>
        </w:rPr>
        <w:t xml:space="preserve"> in batch reactor</w:t>
      </w:r>
      <w:r w:rsidR="00A2161A">
        <w:rPr>
          <w:lang w:val="en-GB"/>
        </w:rPr>
        <w:t>s</w:t>
      </w:r>
      <w:r w:rsidR="002A1B74" w:rsidRPr="002A1B74">
        <w:rPr>
          <w:lang w:val="en-GB"/>
        </w:rPr>
        <w:t>, the minimisation of thermal transients</w:t>
      </w:r>
      <w:r w:rsidR="00211EC2">
        <w:rPr>
          <w:lang w:val="en-GB"/>
        </w:rPr>
        <w:t xml:space="preserve"> </w:t>
      </w:r>
      <w:r w:rsidR="002A1B74" w:rsidRPr="002A1B74">
        <w:rPr>
          <w:lang w:val="en-GB"/>
        </w:rPr>
        <w:t xml:space="preserve">is crucial to </w:t>
      </w:r>
      <w:r w:rsidR="00A2161A">
        <w:rPr>
          <w:lang w:val="en-GB"/>
        </w:rPr>
        <w:t xml:space="preserve">both </w:t>
      </w:r>
      <w:r w:rsidR="002A1B74" w:rsidRPr="002A1B74">
        <w:rPr>
          <w:lang w:val="en-GB"/>
        </w:rPr>
        <w:t>obtain a high-yield bio-crude with more attractive energy properties</w:t>
      </w:r>
      <w:r w:rsidR="002A1B74">
        <w:rPr>
          <w:lang w:val="en-GB"/>
        </w:rPr>
        <w:t xml:space="preserve"> and limit the formation of undesirable</w:t>
      </w:r>
      <w:r w:rsidR="002A1B74" w:rsidRPr="002A1B74">
        <w:rPr>
          <w:lang w:val="en-GB"/>
        </w:rPr>
        <w:t xml:space="preserve"> products</w:t>
      </w:r>
      <w:r w:rsidR="00997210">
        <w:rPr>
          <w:lang w:val="en-GB"/>
        </w:rPr>
        <w:t xml:space="preserve">. </w:t>
      </w:r>
      <w:r w:rsidR="00B333FD" w:rsidRPr="00B333FD">
        <w:rPr>
          <w:lang w:val="en-GB"/>
        </w:rPr>
        <w:t>In this work</w:t>
      </w:r>
      <w:r w:rsidR="00824A6F">
        <w:rPr>
          <w:lang w:val="en-GB"/>
        </w:rPr>
        <w:t>,</w:t>
      </w:r>
      <w:r w:rsidR="00B333FD" w:rsidRPr="00B333FD">
        <w:rPr>
          <w:lang w:val="en-GB"/>
        </w:rPr>
        <w:t xml:space="preserve"> the setup </w:t>
      </w:r>
      <w:r w:rsidR="00A2161A">
        <w:rPr>
          <w:lang w:val="en-GB"/>
        </w:rPr>
        <w:t xml:space="preserve">of a lab-scale HTL apparatus was </w:t>
      </w:r>
      <w:r w:rsidR="009252EA">
        <w:rPr>
          <w:lang w:val="en-GB"/>
        </w:rPr>
        <w:t>performed</w:t>
      </w:r>
      <w:r w:rsidR="00A2161A">
        <w:rPr>
          <w:lang w:val="en-GB"/>
        </w:rPr>
        <w:t xml:space="preserve"> so to limit</w:t>
      </w:r>
      <w:r w:rsidR="00B333FD" w:rsidRPr="00B333FD">
        <w:rPr>
          <w:lang w:val="en-GB"/>
        </w:rPr>
        <w:t xml:space="preserve"> thermal transients</w:t>
      </w:r>
      <w:r w:rsidR="008C4FEA">
        <w:rPr>
          <w:lang w:val="en-GB"/>
        </w:rPr>
        <w:t xml:space="preserve">, and </w:t>
      </w:r>
      <w:r w:rsidR="00647BFD">
        <w:rPr>
          <w:lang w:val="en-GB"/>
        </w:rPr>
        <w:t xml:space="preserve">some </w:t>
      </w:r>
      <w:r w:rsidR="00B333FD" w:rsidRPr="00B333FD">
        <w:rPr>
          <w:lang w:val="en-GB"/>
        </w:rPr>
        <w:t>preliminary test</w:t>
      </w:r>
      <w:r w:rsidR="00647BFD">
        <w:rPr>
          <w:lang w:val="en-GB"/>
        </w:rPr>
        <w:t>s</w:t>
      </w:r>
      <w:r w:rsidR="00B333FD" w:rsidRPr="00B333FD">
        <w:rPr>
          <w:lang w:val="en-GB"/>
        </w:rPr>
        <w:t xml:space="preserve"> w</w:t>
      </w:r>
      <w:r w:rsidR="00647BFD">
        <w:rPr>
          <w:lang w:val="en-GB"/>
        </w:rPr>
        <w:t>ere</w:t>
      </w:r>
      <w:r w:rsidR="00B333FD" w:rsidRPr="00B333FD">
        <w:rPr>
          <w:lang w:val="en-GB"/>
        </w:rPr>
        <w:t xml:space="preserve"> carried out on</w:t>
      </w:r>
      <w:r w:rsidR="008C4FEA">
        <w:rPr>
          <w:lang w:val="en-GB"/>
        </w:rPr>
        <w:t xml:space="preserve"> a</w:t>
      </w:r>
      <w:r w:rsidR="00B333FD" w:rsidRPr="00B333FD">
        <w:rPr>
          <w:lang w:val="en-GB"/>
        </w:rPr>
        <w:t xml:space="preserve"> municipal sludge</w:t>
      </w:r>
      <w:r w:rsidR="00B333FD">
        <w:rPr>
          <w:lang w:val="en-GB"/>
        </w:rPr>
        <w:t xml:space="preserve"> in order to evaluate the yield of </w:t>
      </w:r>
      <w:r w:rsidR="008C4FEA">
        <w:rPr>
          <w:lang w:val="en-GB"/>
        </w:rPr>
        <w:t xml:space="preserve">the obtained </w:t>
      </w:r>
      <w:r w:rsidR="00B333FD">
        <w:rPr>
          <w:lang w:val="en-GB"/>
        </w:rPr>
        <w:t xml:space="preserve">bio-crude. </w:t>
      </w:r>
    </w:p>
    <w:p w14:paraId="476B2F2E" w14:textId="77777777" w:rsidR="00600535" w:rsidRPr="001B7C9E" w:rsidRDefault="00600535" w:rsidP="00600535">
      <w:pPr>
        <w:pStyle w:val="CETHeading1"/>
        <w:rPr>
          <w:lang w:val="en-GB"/>
        </w:rPr>
      </w:pPr>
      <w:r w:rsidRPr="001B7C9E">
        <w:rPr>
          <w:lang w:val="en-GB"/>
        </w:rPr>
        <w:t>Introduction</w:t>
      </w:r>
    </w:p>
    <w:p w14:paraId="02E69809" w14:textId="55E8C14F" w:rsidR="007405E5" w:rsidRPr="001B7C9E" w:rsidRDefault="00184FE1" w:rsidP="00600535">
      <w:pPr>
        <w:pStyle w:val="CETBodytext"/>
        <w:rPr>
          <w:lang w:val="en-GB"/>
        </w:rPr>
      </w:pPr>
      <w:r w:rsidRPr="001B7C9E">
        <w:rPr>
          <w:lang w:val="en-GB"/>
        </w:rPr>
        <w:t xml:space="preserve">According to International Energy Agency (IEA), in 2019, </w:t>
      </w:r>
      <w:r w:rsidR="00AA44AA">
        <w:rPr>
          <w:lang w:val="en-GB"/>
        </w:rPr>
        <w:t xml:space="preserve">the </w:t>
      </w:r>
      <w:r w:rsidRPr="001B7C9E">
        <w:rPr>
          <w:lang w:val="en-GB"/>
        </w:rPr>
        <w:t>world total energy supply reached 7.2</w:t>
      </w:r>
      <w:r w:rsidR="00824A6F">
        <w:rPr>
          <w:lang w:val="en-GB"/>
        </w:rPr>
        <w:sym w:font="Symbol" w:char="F0B4"/>
      </w:r>
      <w:r w:rsidR="00A14FFB" w:rsidRPr="001B7C9E">
        <w:rPr>
          <w:lang w:val="en-GB"/>
        </w:rPr>
        <w:t>10</w:t>
      </w:r>
      <w:r w:rsidRPr="001B7C9E">
        <w:rPr>
          <w:vertAlign w:val="superscript"/>
          <w:lang w:val="en-GB"/>
        </w:rPr>
        <w:t>8</w:t>
      </w:r>
      <w:r w:rsidRPr="001B7C9E">
        <w:rPr>
          <w:lang w:val="en-GB"/>
        </w:rPr>
        <w:t xml:space="preserve"> </w:t>
      </w:r>
      <w:r w:rsidR="00A14FFB" w:rsidRPr="001B7C9E">
        <w:rPr>
          <w:lang w:val="en-GB"/>
        </w:rPr>
        <w:t>TJ</w:t>
      </w:r>
      <w:r w:rsidRPr="001B7C9E">
        <w:rPr>
          <w:lang w:val="en-GB"/>
        </w:rPr>
        <w:t xml:space="preserve"> and energy generation from fossil fuels accounted for 8</w:t>
      </w:r>
      <w:r w:rsidR="00A14FFB" w:rsidRPr="001B7C9E">
        <w:rPr>
          <w:lang w:val="en-GB"/>
        </w:rPr>
        <w:t>0</w:t>
      </w:r>
      <w:r w:rsidRPr="001B7C9E">
        <w:rPr>
          <w:lang w:val="en-GB"/>
        </w:rPr>
        <w:t>.</w:t>
      </w:r>
      <w:r w:rsidR="00A14FFB" w:rsidRPr="001B7C9E">
        <w:rPr>
          <w:lang w:val="en-GB"/>
        </w:rPr>
        <w:t>9</w:t>
      </w:r>
      <w:r w:rsidRPr="001B7C9E">
        <w:rPr>
          <w:lang w:val="en-GB"/>
        </w:rPr>
        <w:t>% of the total world gross energy production</w:t>
      </w:r>
      <w:r w:rsidR="00A14FFB" w:rsidRPr="001B7C9E">
        <w:rPr>
          <w:lang w:val="en-GB"/>
        </w:rPr>
        <w:t xml:space="preserve"> compared to 19.1% represented by renewable sources (biofuels and nuclear, wind, solar, etc.)</w:t>
      </w:r>
      <w:r w:rsidRPr="001B7C9E">
        <w:rPr>
          <w:lang w:val="en-GB"/>
        </w:rPr>
        <w:t>.</w:t>
      </w:r>
      <w:r w:rsidR="008913FD" w:rsidRPr="001B7C9E">
        <w:rPr>
          <w:lang w:val="en-GB"/>
        </w:rPr>
        <w:t xml:space="preserve"> </w:t>
      </w:r>
      <w:r w:rsidR="002C5226" w:rsidRPr="001B7C9E">
        <w:rPr>
          <w:lang w:val="en-GB"/>
        </w:rPr>
        <w:t xml:space="preserve">The use of biomass (e.g., lignocellulosic </w:t>
      </w:r>
      <w:r w:rsidR="00992598">
        <w:rPr>
          <w:lang w:val="en-GB"/>
        </w:rPr>
        <w:t>substrates</w:t>
      </w:r>
      <w:r w:rsidR="002C5226" w:rsidRPr="001B7C9E">
        <w:rPr>
          <w:lang w:val="en-GB"/>
        </w:rPr>
        <w:t>,</w:t>
      </w:r>
      <w:r w:rsidR="00992598">
        <w:rPr>
          <w:lang w:val="en-GB"/>
        </w:rPr>
        <w:t xml:space="preserve"> sludges,</w:t>
      </w:r>
      <w:r w:rsidR="002C5226" w:rsidRPr="001B7C9E">
        <w:rPr>
          <w:lang w:val="en-GB"/>
        </w:rPr>
        <w:t xml:space="preserve"> micro and macroalgae) in renewable fuels production technologies has been considered as a promising route to </w:t>
      </w:r>
      <w:r w:rsidR="00AE6573" w:rsidRPr="001B7C9E">
        <w:rPr>
          <w:lang w:val="en-GB"/>
        </w:rPr>
        <w:t>replace some of the fossil fuel</w:t>
      </w:r>
      <w:r w:rsidR="008C62CD">
        <w:rPr>
          <w:lang w:val="en-GB"/>
        </w:rPr>
        <w:t>s</w:t>
      </w:r>
      <w:r w:rsidR="00AE6573" w:rsidRPr="001B7C9E">
        <w:rPr>
          <w:lang w:val="en-GB"/>
        </w:rPr>
        <w:t xml:space="preserve">. </w:t>
      </w:r>
      <w:r w:rsidR="00992598">
        <w:rPr>
          <w:lang w:val="en-GB"/>
        </w:rPr>
        <w:t xml:space="preserve">In addition, </w:t>
      </w:r>
      <w:r w:rsidR="008C62CD">
        <w:rPr>
          <w:lang w:val="en-GB"/>
        </w:rPr>
        <w:t xml:space="preserve">it </w:t>
      </w:r>
      <w:r w:rsidR="00992598" w:rsidRPr="001B7C9E">
        <w:rPr>
          <w:lang w:val="en-GB"/>
        </w:rPr>
        <w:t>is imperative to develop efficient waste-to-energy technique</w:t>
      </w:r>
      <w:r w:rsidR="008C62CD">
        <w:rPr>
          <w:lang w:val="en-GB"/>
        </w:rPr>
        <w:t>s</w:t>
      </w:r>
      <w:r w:rsidR="00992598" w:rsidRPr="001B7C9E">
        <w:rPr>
          <w:lang w:val="en-GB"/>
        </w:rPr>
        <w:t xml:space="preserve"> to reduce the </w:t>
      </w:r>
      <w:r w:rsidR="00992598">
        <w:rPr>
          <w:lang w:val="en-GB"/>
        </w:rPr>
        <w:t xml:space="preserve">volumes and environmental impacts </w:t>
      </w:r>
      <w:r w:rsidR="004E4A05">
        <w:rPr>
          <w:lang w:val="en-GB"/>
        </w:rPr>
        <w:t xml:space="preserve">of different wastes commonly </w:t>
      </w:r>
      <w:r w:rsidR="004E4A05" w:rsidRPr="004E4A05">
        <w:rPr>
          <w:lang w:val="en-GB"/>
        </w:rPr>
        <w:t>disposed of in landfills</w:t>
      </w:r>
      <w:r w:rsidR="004E4A05">
        <w:rPr>
          <w:lang w:val="en-GB"/>
        </w:rPr>
        <w:t xml:space="preserve"> </w:t>
      </w:r>
      <w:r w:rsidR="004E4A05" w:rsidRPr="001B7C9E">
        <w:rPr>
          <w:lang w:val="en-GB"/>
        </w:rPr>
        <w:t>(e.g., sewage sludge, municipal and industrial solid waste)</w:t>
      </w:r>
      <w:r w:rsidR="004E4A05">
        <w:rPr>
          <w:lang w:val="en-GB"/>
        </w:rPr>
        <w:t xml:space="preserve">, while valorising them as </w:t>
      </w:r>
      <w:r w:rsidR="00992598" w:rsidRPr="001B7C9E">
        <w:rPr>
          <w:lang w:val="en-GB"/>
        </w:rPr>
        <w:t>a sustainable and renewable fuel.</w:t>
      </w:r>
      <w:r w:rsidR="004E4A05">
        <w:rPr>
          <w:lang w:val="en-GB"/>
        </w:rPr>
        <w:t xml:space="preserve"> </w:t>
      </w:r>
      <w:r w:rsidR="00AE6573" w:rsidRPr="001B7C9E">
        <w:rPr>
          <w:lang w:val="en-GB"/>
        </w:rPr>
        <w:t xml:space="preserve">For </w:t>
      </w:r>
      <w:r w:rsidR="00F277BB" w:rsidRPr="001B7C9E">
        <w:rPr>
          <w:lang w:val="en-GB"/>
        </w:rPr>
        <w:t>example, the municipal</w:t>
      </w:r>
      <w:r w:rsidR="00AE6573" w:rsidRPr="001B7C9E">
        <w:rPr>
          <w:lang w:val="en-GB"/>
        </w:rPr>
        <w:t xml:space="preserve"> </w:t>
      </w:r>
      <w:r w:rsidR="00611ECA" w:rsidRPr="001B7C9E">
        <w:rPr>
          <w:lang w:val="en-GB"/>
        </w:rPr>
        <w:t xml:space="preserve">sewage </w:t>
      </w:r>
      <w:r w:rsidR="00AE6573" w:rsidRPr="001B7C9E">
        <w:rPr>
          <w:lang w:val="en-GB"/>
        </w:rPr>
        <w:t xml:space="preserve">sludge, which contains </w:t>
      </w:r>
      <w:r w:rsidR="00F277BB" w:rsidRPr="001B7C9E">
        <w:rPr>
          <w:lang w:val="en-GB"/>
        </w:rPr>
        <w:t>a large amount of</w:t>
      </w:r>
      <w:r w:rsidR="00AE6573" w:rsidRPr="001B7C9E">
        <w:rPr>
          <w:lang w:val="en-GB"/>
        </w:rPr>
        <w:t xml:space="preserve"> proteins, carbohydrates</w:t>
      </w:r>
      <w:r w:rsidR="00F277BB" w:rsidRPr="001B7C9E">
        <w:rPr>
          <w:lang w:val="en-GB"/>
        </w:rPr>
        <w:t xml:space="preserve"> and</w:t>
      </w:r>
      <w:r w:rsidR="00AE6573" w:rsidRPr="001B7C9E">
        <w:rPr>
          <w:lang w:val="en-GB"/>
        </w:rPr>
        <w:t xml:space="preserve"> lipids</w:t>
      </w:r>
      <w:r w:rsidR="00B42395">
        <w:rPr>
          <w:lang w:val="en-GB"/>
        </w:rPr>
        <w:t xml:space="preserve"> (He</w:t>
      </w:r>
      <w:r w:rsidR="00D17B89">
        <w:rPr>
          <w:lang w:val="en-GB"/>
        </w:rPr>
        <w:t xml:space="preserve"> et al. 2014)</w:t>
      </w:r>
      <w:r w:rsidR="00AE6573" w:rsidRPr="001B7C9E">
        <w:rPr>
          <w:lang w:val="en-GB"/>
        </w:rPr>
        <w:t xml:space="preserve">, is </w:t>
      </w:r>
      <w:r w:rsidR="004E4A05" w:rsidRPr="001B7C9E">
        <w:rPr>
          <w:lang w:val="en-GB"/>
        </w:rPr>
        <w:t xml:space="preserve">abundantly </w:t>
      </w:r>
      <w:r w:rsidR="00F277BB" w:rsidRPr="001B7C9E">
        <w:rPr>
          <w:lang w:val="en-GB"/>
        </w:rPr>
        <w:t>produced</w:t>
      </w:r>
      <w:r w:rsidR="00AE6573" w:rsidRPr="001B7C9E">
        <w:rPr>
          <w:lang w:val="en-GB"/>
        </w:rPr>
        <w:t xml:space="preserve"> from municipal and industrial wastewater treatment plants. </w:t>
      </w:r>
      <w:r w:rsidR="00611ECA" w:rsidRPr="001B7C9E">
        <w:rPr>
          <w:lang w:val="en-GB"/>
        </w:rPr>
        <w:t>However, t</w:t>
      </w:r>
      <w:r w:rsidR="00AE6573" w:rsidRPr="001B7C9E">
        <w:rPr>
          <w:lang w:val="en-GB"/>
        </w:rPr>
        <w:t>he solid content in dewatered sewage sludge</w:t>
      </w:r>
      <w:r w:rsidR="00072BDA" w:rsidRPr="001B7C9E">
        <w:rPr>
          <w:lang w:val="en-GB"/>
        </w:rPr>
        <w:t xml:space="preserve"> </w:t>
      </w:r>
      <w:r w:rsidR="00AE6573" w:rsidRPr="001B7C9E">
        <w:rPr>
          <w:lang w:val="en-GB"/>
        </w:rPr>
        <w:t>is ty</w:t>
      </w:r>
      <w:r w:rsidR="00E86332">
        <w:rPr>
          <w:lang w:val="en-GB"/>
        </w:rPr>
        <w:t>pically in the range of 10–20</w:t>
      </w:r>
      <w:r w:rsidR="00AE6573" w:rsidRPr="001B7C9E">
        <w:rPr>
          <w:lang w:val="en-GB"/>
        </w:rPr>
        <w:t>%</w:t>
      </w:r>
      <w:r w:rsidR="00E86332">
        <w:rPr>
          <w:vertAlign w:val="subscript"/>
          <w:lang w:val="en-GB"/>
        </w:rPr>
        <w:t>wt</w:t>
      </w:r>
      <w:r w:rsidR="00AE6573" w:rsidRPr="001B7C9E">
        <w:rPr>
          <w:lang w:val="en-GB"/>
        </w:rPr>
        <w:t xml:space="preserve"> </w:t>
      </w:r>
      <w:r w:rsidR="00072BDA" w:rsidRPr="001B7C9E">
        <w:rPr>
          <w:lang w:val="en-GB"/>
        </w:rPr>
        <w:t>and t</w:t>
      </w:r>
      <w:r w:rsidR="00AE6573" w:rsidRPr="001B7C9E">
        <w:rPr>
          <w:lang w:val="en-GB"/>
        </w:rPr>
        <w:t>he energy content of</w:t>
      </w:r>
      <w:r w:rsidR="00573C3F" w:rsidRPr="001B7C9E">
        <w:rPr>
          <w:lang w:val="en-GB"/>
        </w:rPr>
        <w:t xml:space="preserve"> </w:t>
      </w:r>
      <w:r w:rsidR="00AE6573" w:rsidRPr="001B7C9E">
        <w:rPr>
          <w:lang w:val="en-GB"/>
        </w:rPr>
        <w:t>the solid species is very low (higher heating value (HHV) of</w:t>
      </w:r>
      <w:r w:rsidR="00573C3F" w:rsidRPr="001B7C9E">
        <w:rPr>
          <w:lang w:val="en-GB"/>
        </w:rPr>
        <w:t xml:space="preserve"> </w:t>
      </w:r>
      <w:r w:rsidR="00AE6573" w:rsidRPr="001B7C9E">
        <w:rPr>
          <w:lang w:val="en-GB"/>
        </w:rPr>
        <w:t>1</w:t>
      </w:r>
      <w:r w:rsidR="00297435">
        <w:rPr>
          <w:lang w:val="en-GB"/>
        </w:rPr>
        <w:t>0</w:t>
      </w:r>
      <w:r w:rsidR="00AE6573" w:rsidRPr="001B7C9E">
        <w:rPr>
          <w:lang w:val="en-GB"/>
        </w:rPr>
        <w:t>–2</w:t>
      </w:r>
      <w:r w:rsidR="00297435">
        <w:rPr>
          <w:lang w:val="en-GB"/>
        </w:rPr>
        <w:t>5</w:t>
      </w:r>
      <w:r w:rsidR="00AE6573" w:rsidRPr="001B7C9E">
        <w:rPr>
          <w:lang w:val="en-GB"/>
        </w:rPr>
        <w:t xml:space="preserve"> MJ</w:t>
      </w:r>
      <w:r w:rsidR="0094589A">
        <w:rPr>
          <w:lang w:val="en-GB"/>
        </w:rPr>
        <w:t>/</w:t>
      </w:r>
      <w:r w:rsidR="00AE6573" w:rsidRPr="001B7C9E">
        <w:rPr>
          <w:lang w:val="en-GB"/>
        </w:rPr>
        <w:t>kg on a dry basis</w:t>
      </w:r>
      <w:r w:rsidR="00845816">
        <w:rPr>
          <w:lang w:val="en-GB"/>
        </w:rPr>
        <w:t xml:space="preserve"> </w:t>
      </w:r>
      <w:r w:rsidR="00D17B89">
        <w:rPr>
          <w:lang w:val="en-GB"/>
        </w:rPr>
        <w:t>(</w:t>
      </w:r>
      <w:proofErr w:type="spellStart"/>
      <w:r w:rsidR="00845816">
        <w:rPr>
          <w:lang w:val="en-GB"/>
        </w:rPr>
        <w:t>Malins</w:t>
      </w:r>
      <w:proofErr w:type="spellEnd"/>
      <w:r w:rsidR="00845816">
        <w:rPr>
          <w:lang w:val="en-GB"/>
        </w:rPr>
        <w:t xml:space="preserve"> et </w:t>
      </w:r>
      <w:r w:rsidR="00D17B89">
        <w:rPr>
          <w:lang w:val="en-GB"/>
        </w:rPr>
        <w:t>a</w:t>
      </w:r>
      <w:r w:rsidR="00845816">
        <w:rPr>
          <w:lang w:val="en-GB"/>
        </w:rPr>
        <w:t>l</w:t>
      </w:r>
      <w:r w:rsidR="008C62CD">
        <w:rPr>
          <w:lang w:val="en-GB"/>
        </w:rPr>
        <w:t>.</w:t>
      </w:r>
      <w:r w:rsidR="00845816">
        <w:rPr>
          <w:lang w:val="en-GB"/>
        </w:rPr>
        <w:t xml:space="preserve"> 2015</w:t>
      </w:r>
      <w:r w:rsidR="00D17B89">
        <w:rPr>
          <w:lang w:val="en-GB"/>
        </w:rPr>
        <w:t>)</w:t>
      </w:r>
      <w:r w:rsidR="008C62CD">
        <w:rPr>
          <w:lang w:val="en-GB"/>
        </w:rPr>
        <w:t>)</w:t>
      </w:r>
      <w:r w:rsidR="000C649D" w:rsidRPr="001B7C9E">
        <w:rPr>
          <w:lang w:val="en-GB"/>
        </w:rPr>
        <w:t xml:space="preserve">. Thus, </w:t>
      </w:r>
      <w:r w:rsidR="00AE6573" w:rsidRPr="001B7C9E">
        <w:rPr>
          <w:lang w:val="en-GB"/>
        </w:rPr>
        <w:t>it is necessary to convert the</w:t>
      </w:r>
      <w:r w:rsidR="00573C3F" w:rsidRPr="001B7C9E">
        <w:rPr>
          <w:lang w:val="en-GB"/>
        </w:rPr>
        <w:t xml:space="preserve"> </w:t>
      </w:r>
      <w:r w:rsidR="00AE6573" w:rsidRPr="001B7C9E">
        <w:rPr>
          <w:lang w:val="en-GB"/>
        </w:rPr>
        <w:t xml:space="preserve">organic </w:t>
      </w:r>
      <w:r w:rsidR="000C649D" w:rsidRPr="001B7C9E">
        <w:rPr>
          <w:lang w:val="en-GB"/>
        </w:rPr>
        <w:t>matrix</w:t>
      </w:r>
      <w:r w:rsidR="00AE6573" w:rsidRPr="001B7C9E">
        <w:rPr>
          <w:lang w:val="en-GB"/>
        </w:rPr>
        <w:t xml:space="preserve"> into high-energy-content fuels, </w:t>
      </w:r>
      <w:r w:rsidR="002C5226" w:rsidRPr="001B7C9E">
        <w:rPr>
          <w:lang w:val="en-GB"/>
        </w:rPr>
        <w:t xml:space="preserve">in particular liquid </w:t>
      </w:r>
      <w:r w:rsidR="004E4A05">
        <w:rPr>
          <w:lang w:val="en-GB"/>
        </w:rPr>
        <w:t xml:space="preserve">ones </w:t>
      </w:r>
      <w:r w:rsidR="002C5226" w:rsidRPr="001B7C9E">
        <w:rPr>
          <w:lang w:val="en-GB"/>
        </w:rPr>
        <w:t>required for many applications such as in the transport sector</w:t>
      </w:r>
      <w:r w:rsidR="007E7804">
        <w:rPr>
          <w:lang w:val="en-GB"/>
        </w:rPr>
        <w:t xml:space="preserve"> (</w:t>
      </w:r>
      <w:proofErr w:type="spellStart"/>
      <w:r w:rsidR="008C62CD" w:rsidRPr="00070D46">
        <w:rPr>
          <w:lang w:val="en-GB"/>
        </w:rPr>
        <w:t>Gollakota</w:t>
      </w:r>
      <w:proofErr w:type="spellEnd"/>
      <w:r w:rsidR="007E7804" w:rsidRPr="00070D46">
        <w:rPr>
          <w:lang w:val="en-GB"/>
        </w:rPr>
        <w:t xml:space="preserve"> et al. 2018)</w:t>
      </w:r>
      <w:r w:rsidR="002C5226" w:rsidRPr="00070D46">
        <w:rPr>
          <w:lang w:val="en-GB"/>
        </w:rPr>
        <w:t>.</w:t>
      </w:r>
      <w:r w:rsidR="00EF3351" w:rsidRPr="001B7C9E">
        <w:rPr>
          <w:lang w:val="en-GB"/>
        </w:rPr>
        <w:t xml:space="preserve"> </w:t>
      </w:r>
      <w:r w:rsidR="008913FD" w:rsidRPr="001B7C9E">
        <w:rPr>
          <w:lang w:val="en-GB"/>
        </w:rPr>
        <w:t xml:space="preserve">In the last decades, </w:t>
      </w:r>
      <w:r w:rsidR="00EF3351" w:rsidRPr="001B7C9E">
        <w:rPr>
          <w:lang w:val="en-GB"/>
        </w:rPr>
        <w:t>a</w:t>
      </w:r>
      <w:r w:rsidR="00AF3AE7" w:rsidRPr="001B7C9E">
        <w:rPr>
          <w:lang w:val="en-GB"/>
        </w:rPr>
        <w:t xml:space="preserve">mong the different biomass conversion technologies, </w:t>
      </w:r>
      <w:r w:rsidR="003B1ED7">
        <w:rPr>
          <w:lang w:val="en-GB"/>
        </w:rPr>
        <w:t xml:space="preserve">the </w:t>
      </w:r>
      <w:r w:rsidR="003B1ED7" w:rsidRPr="001B7C9E">
        <w:rPr>
          <w:lang w:val="en-GB"/>
        </w:rPr>
        <w:t xml:space="preserve">hydrothermal liquefaction (HTL) process </w:t>
      </w:r>
      <w:r w:rsidR="003B1ED7">
        <w:rPr>
          <w:lang w:val="en-GB"/>
        </w:rPr>
        <w:t xml:space="preserve">is gaining increasing interest for </w:t>
      </w:r>
      <w:r w:rsidR="00143431" w:rsidRPr="001B7C9E">
        <w:rPr>
          <w:lang w:val="en-GB"/>
        </w:rPr>
        <w:t>t</w:t>
      </w:r>
      <w:r w:rsidR="00AF3AE7" w:rsidRPr="001B7C9E">
        <w:rPr>
          <w:lang w:val="en-GB"/>
        </w:rPr>
        <w:t xml:space="preserve">he energetic valorisation of </w:t>
      </w:r>
      <w:r w:rsidR="00EF3351" w:rsidRPr="001B7C9E">
        <w:rPr>
          <w:lang w:val="en-GB"/>
        </w:rPr>
        <w:t>biomass</w:t>
      </w:r>
      <w:r w:rsidR="003B1ED7">
        <w:rPr>
          <w:lang w:val="en-GB"/>
        </w:rPr>
        <w:t xml:space="preserve"> via bio-oil production</w:t>
      </w:r>
      <w:r w:rsidR="00121E01">
        <w:rPr>
          <w:lang w:val="en-GB"/>
        </w:rPr>
        <w:t xml:space="preserve"> (Qian et al. 2017)</w:t>
      </w:r>
      <w:r w:rsidR="00AF3AE7" w:rsidRPr="001B7C9E">
        <w:rPr>
          <w:lang w:val="en-GB"/>
        </w:rPr>
        <w:t xml:space="preserve">. HTL </w:t>
      </w:r>
      <w:r w:rsidR="006262CA">
        <w:rPr>
          <w:lang w:val="en-GB"/>
        </w:rPr>
        <w:t>allows the</w:t>
      </w:r>
      <w:r w:rsidR="00AF3AE7" w:rsidRPr="001B7C9E">
        <w:rPr>
          <w:lang w:val="en-GB"/>
        </w:rPr>
        <w:t xml:space="preserve"> conversion of wet biomass into liquid fuels by processing it in a hot, pressurised water environment (200–350</w:t>
      </w:r>
      <w:r w:rsidR="00A31B22" w:rsidRPr="001B7C9E">
        <w:rPr>
          <w:lang w:val="en-GB"/>
        </w:rPr>
        <w:t xml:space="preserve"> </w:t>
      </w:r>
      <w:r w:rsidR="00AF3AE7" w:rsidRPr="001B7C9E">
        <w:rPr>
          <w:lang w:val="en-GB"/>
        </w:rPr>
        <w:t>°C and 15–220 bar) to break down the biopolymeric structure and produce a liquid bio-oil as energy vector</w:t>
      </w:r>
      <w:r w:rsidR="00766A09">
        <w:rPr>
          <w:lang w:val="en-GB"/>
        </w:rPr>
        <w:t xml:space="preserve"> (</w:t>
      </w:r>
      <w:r w:rsidR="002E31B1">
        <w:rPr>
          <w:lang w:val="en-GB"/>
        </w:rPr>
        <w:t xml:space="preserve">Bach et al., 2016; </w:t>
      </w:r>
      <w:r w:rsidR="00766A09" w:rsidRPr="000578F1">
        <w:rPr>
          <w:bCs/>
        </w:rPr>
        <w:t>Mujahid</w:t>
      </w:r>
      <w:r w:rsidR="00766A09">
        <w:rPr>
          <w:bCs/>
        </w:rPr>
        <w:t xml:space="preserve"> et al. 2020</w:t>
      </w:r>
      <w:r w:rsidR="002E31B1">
        <w:rPr>
          <w:bCs/>
        </w:rPr>
        <w:t>; Rizzo et al., 2020</w:t>
      </w:r>
      <w:r w:rsidR="00766A09">
        <w:rPr>
          <w:bCs/>
        </w:rPr>
        <w:t>).</w:t>
      </w:r>
      <w:r w:rsidR="00C561BB">
        <w:rPr>
          <w:lang w:val="en-GB"/>
        </w:rPr>
        <w:t xml:space="preserve"> </w:t>
      </w:r>
      <w:r w:rsidR="006262CA">
        <w:rPr>
          <w:lang w:val="en-GB"/>
        </w:rPr>
        <w:t>Under typical HTL</w:t>
      </w:r>
      <w:r w:rsidR="0056445A" w:rsidRPr="001B7C9E">
        <w:rPr>
          <w:lang w:val="en-GB"/>
        </w:rPr>
        <w:t xml:space="preserve"> conditions, </w:t>
      </w:r>
      <w:r w:rsidR="0056445A" w:rsidRPr="001B7C9E">
        <w:rPr>
          <w:lang w:val="en-GB"/>
        </w:rPr>
        <w:lastRenderedPageBreak/>
        <w:t>liquid water starts assuming the characteristics of a polar organic solvent, so allowing the organic molecules to take part, in water, in the desired chemical reactions</w:t>
      </w:r>
      <w:r w:rsidR="00766A09">
        <w:rPr>
          <w:lang w:val="en-GB"/>
        </w:rPr>
        <w:t xml:space="preserve"> (</w:t>
      </w:r>
      <w:proofErr w:type="spellStart"/>
      <w:r w:rsidR="00766A09">
        <w:rPr>
          <w:lang w:val="en-GB"/>
        </w:rPr>
        <w:t>Basar</w:t>
      </w:r>
      <w:proofErr w:type="spellEnd"/>
      <w:r w:rsidR="00766A09">
        <w:rPr>
          <w:lang w:val="en-GB"/>
        </w:rPr>
        <w:t xml:space="preserve"> et al. 2021)</w:t>
      </w:r>
      <w:r w:rsidR="0056445A" w:rsidRPr="001B7C9E">
        <w:rPr>
          <w:lang w:val="en-GB"/>
        </w:rPr>
        <w:t>. Moreover, ionic product is large enough to favour ionic reactions resulting in oil products</w:t>
      </w:r>
      <w:r w:rsidR="00C561BB">
        <w:rPr>
          <w:lang w:val="en-GB"/>
        </w:rPr>
        <w:t xml:space="preserve"> (Wang et al</w:t>
      </w:r>
      <w:r w:rsidR="0056445A" w:rsidRPr="001B7C9E">
        <w:rPr>
          <w:lang w:val="en-GB"/>
        </w:rPr>
        <w:t>.</w:t>
      </w:r>
      <w:r w:rsidR="00C561BB">
        <w:rPr>
          <w:lang w:val="en-GB"/>
        </w:rPr>
        <w:t xml:space="preserve"> 2019).</w:t>
      </w:r>
      <w:r w:rsidR="00AF3AE7" w:rsidRPr="001B7C9E">
        <w:rPr>
          <w:lang w:val="en-GB"/>
        </w:rPr>
        <w:t xml:space="preserve"> The main advantage of the HTL process is that it does not require preliminary procedures for drying the raw material, which is highly energy-intensive, as water under process conditions acts as a catalyst</w:t>
      </w:r>
      <w:r w:rsidR="00422D05">
        <w:rPr>
          <w:lang w:val="en-GB"/>
        </w:rPr>
        <w:t>/</w:t>
      </w:r>
      <w:r w:rsidR="00AF3AE7" w:rsidRPr="001B7C9E">
        <w:rPr>
          <w:lang w:val="en-GB"/>
        </w:rPr>
        <w:t>reaction medium</w:t>
      </w:r>
      <w:r w:rsidR="002532A6">
        <w:rPr>
          <w:lang w:val="en-GB"/>
        </w:rPr>
        <w:t xml:space="preserve"> (</w:t>
      </w:r>
      <w:proofErr w:type="spellStart"/>
      <w:r w:rsidR="002532A6" w:rsidRPr="0085726E">
        <w:rPr>
          <w:bCs/>
        </w:rPr>
        <w:t>Theegala</w:t>
      </w:r>
      <w:proofErr w:type="spellEnd"/>
      <w:r w:rsidR="002532A6">
        <w:rPr>
          <w:b/>
          <w:bCs/>
        </w:rPr>
        <w:t xml:space="preserve"> </w:t>
      </w:r>
      <w:r w:rsidR="002532A6" w:rsidRPr="0085726E">
        <w:rPr>
          <w:bCs/>
        </w:rPr>
        <w:t xml:space="preserve">and </w:t>
      </w:r>
      <w:r w:rsidR="00734161">
        <w:rPr>
          <w:bCs/>
        </w:rPr>
        <w:t>Midgett</w:t>
      </w:r>
      <w:r w:rsidR="002532A6">
        <w:rPr>
          <w:bCs/>
        </w:rPr>
        <w:t>, 2012)</w:t>
      </w:r>
      <w:r w:rsidR="00AF3AE7" w:rsidRPr="001B7C9E">
        <w:rPr>
          <w:lang w:val="en-GB"/>
        </w:rPr>
        <w:t>. Besides the target bio-oil, an aqueous phase, a bio-char and a gas phase are also produced</w:t>
      </w:r>
      <w:r w:rsidR="00BB63AB">
        <w:rPr>
          <w:lang w:val="en-GB"/>
        </w:rPr>
        <w:t xml:space="preserve"> (</w:t>
      </w:r>
      <w:r w:rsidR="00BB63AB" w:rsidRPr="00BB63AB">
        <w:rPr>
          <w:bCs/>
        </w:rPr>
        <w:t>Rahman</w:t>
      </w:r>
      <w:r w:rsidR="00BB63AB">
        <w:rPr>
          <w:bCs/>
        </w:rPr>
        <w:t xml:space="preserve"> et al. 2021).</w:t>
      </w:r>
    </w:p>
    <w:p w14:paraId="19A7F6CB" w14:textId="2D5CF246" w:rsidR="00717ECF" w:rsidRPr="001B7C9E" w:rsidRDefault="006262CA" w:rsidP="00600535">
      <w:pPr>
        <w:pStyle w:val="CETBodytext"/>
        <w:rPr>
          <w:lang w:val="en-GB"/>
        </w:rPr>
      </w:pPr>
      <w:r>
        <w:rPr>
          <w:lang w:val="en-GB"/>
        </w:rPr>
        <w:t>In the case of</w:t>
      </w:r>
      <w:r w:rsidR="00717ECF" w:rsidRPr="001B7C9E">
        <w:rPr>
          <w:lang w:val="en-GB"/>
        </w:rPr>
        <w:t xml:space="preserve"> HTL</w:t>
      </w:r>
      <w:r>
        <w:rPr>
          <w:lang w:val="en-GB"/>
        </w:rPr>
        <w:t xml:space="preserve"> applied to</w:t>
      </w:r>
      <w:r w:rsidR="00717ECF" w:rsidRPr="001B7C9E">
        <w:rPr>
          <w:lang w:val="en-GB"/>
        </w:rPr>
        <w:t xml:space="preserve"> sewage sludge</w:t>
      </w:r>
      <w:r>
        <w:rPr>
          <w:lang w:val="en-GB"/>
        </w:rPr>
        <w:t>, the typical</w:t>
      </w:r>
      <w:r w:rsidR="00717ECF" w:rsidRPr="001B7C9E">
        <w:rPr>
          <w:lang w:val="en-GB"/>
        </w:rPr>
        <w:t xml:space="preserve"> v</w:t>
      </w:r>
      <w:r w:rsidR="00E96F62" w:rsidRPr="001B7C9E">
        <w:rPr>
          <w:lang w:val="en-GB"/>
        </w:rPr>
        <w:t>alue for the energetic ratio (</w:t>
      </w:r>
      <w:r w:rsidR="0094589A" w:rsidRPr="001B7C9E">
        <w:rPr>
          <w:lang w:val="en-GB"/>
        </w:rPr>
        <w:t>i.e.,</w:t>
      </w:r>
      <w:r w:rsidR="00E96F62" w:rsidRPr="001B7C9E">
        <w:rPr>
          <w:lang w:val="en-GB"/>
        </w:rPr>
        <w:t xml:space="preserve"> the ratio between HHV of the bio</w:t>
      </w:r>
      <w:r w:rsidR="00E86332">
        <w:rPr>
          <w:lang w:val="en-GB"/>
        </w:rPr>
        <w:t>-</w:t>
      </w:r>
      <w:r w:rsidR="00E96F62" w:rsidRPr="001B7C9E">
        <w:rPr>
          <w:lang w:val="en-GB"/>
        </w:rPr>
        <w:t xml:space="preserve">crude and HHV of the starting material) </w:t>
      </w:r>
      <w:r>
        <w:rPr>
          <w:lang w:val="en-GB"/>
        </w:rPr>
        <w:t xml:space="preserve">is </w:t>
      </w:r>
      <w:r w:rsidR="00E96F62" w:rsidRPr="001B7C9E">
        <w:rPr>
          <w:lang w:val="en-GB"/>
        </w:rPr>
        <w:t xml:space="preserve">around 2.8, </w:t>
      </w:r>
      <w:r w:rsidRPr="001B7C9E">
        <w:rPr>
          <w:lang w:val="en-GB"/>
        </w:rPr>
        <w:t>t</w:t>
      </w:r>
      <w:r>
        <w:rPr>
          <w:lang w:val="en-GB"/>
        </w:rPr>
        <w:t>hus</w:t>
      </w:r>
      <w:r w:rsidRPr="001B7C9E">
        <w:rPr>
          <w:lang w:val="en-GB"/>
        </w:rPr>
        <w:t xml:space="preserve"> indicat</w:t>
      </w:r>
      <w:r>
        <w:rPr>
          <w:lang w:val="en-GB"/>
        </w:rPr>
        <w:t>ing</w:t>
      </w:r>
      <w:r w:rsidRPr="001B7C9E">
        <w:rPr>
          <w:lang w:val="en-GB"/>
        </w:rPr>
        <w:t xml:space="preserve"> </w:t>
      </w:r>
      <w:r w:rsidR="00E96F62" w:rsidRPr="001B7C9E">
        <w:rPr>
          <w:lang w:val="en-GB"/>
        </w:rPr>
        <w:t>that HTL is a process able to determine a significant energetic densification of the parent biomass</w:t>
      </w:r>
      <w:r w:rsidR="00812AB2">
        <w:rPr>
          <w:lang w:val="en-GB"/>
        </w:rPr>
        <w:t xml:space="preserve"> (Castello et al. 2018)</w:t>
      </w:r>
      <w:r w:rsidR="00E96F62" w:rsidRPr="001B7C9E">
        <w:rPr>
          <w:lang w:val="en-GB"/>
        </w:rPr>
        <w:t>.</w:t>
      </w:r>
    </w:p>
    <w:p w14:paraId="50B65222" w14:textId="6DEB12EE" w:rsidR="00143431" w:rsidRPr="001B7C9E" w:rsidRDefault="00F53B98" w:rsidP="00512D98">
      <w:pPr>
        <w:pStyle w:val="CETBodytext"/>
        <w:rPr>
          <w:lang w:val="en-GB"/>
        </w:rPr>
      </w:pPr>
      <w:r>
        <w:rPr>
          <w:lang w:val="en-GB"/>
        </w:rPr>
        <w:t xml:space="preserve">In analogy with biomass pyrolysis, the heating rate </w:t>
      </w:r>
      <w:r w:rsidR="00647EAE">
        <w:rPr>
          <w:lang w:val="en-GB"/>
        </w:rPr>
        <w:t>of biomass</w:t>
      </w:r>
      <w:r w:rsidR="007956EB" w:rsidRPr="007956EB">
        <w:rPr>
          <w:lang w:val="en-GB"/>
        </w:rPr>
        <w:t xml:space="preserve"> </w:t>
      </w:r>
      <w:r w:rsidR="007956EB">
        <w:rPr>
          <w:lang w:val="en-GB"/>
        </w:rPr>
        <w:t xml:space="preserve">during </w:t>
      </w:r>
      <w:r w:rsidR="007D14B8">
        <w:rPr>
          <w:lang w:val="en-GB"/>
        </w:rPr>
        <w:t xml:space="preserve">the </w:t>
      </w:r>
      <w:r w:rsidR="007956EB">
        <w:rPr>
          <w:lang w:val="en-GB"/>
        </w:rPr>
        <w:t xml:space="preserve">HTL </w:t>
      </w:r>
      <w:r w:rsidR="007956EB" w:rsidRPr="001A58EF">
        <w:rPr>
          <w:color w:val="000000" w:themeColor="text1"/>
          <w:lang w:val="en-GB"/>
        </w:rPr>
        <w:t>process</w:t>
      </w:r>
      <w:r w:rsidR="00647EAE" w:rsidRPr="001A58EF">
        <w:rPr>
          <w:color w:val="000000" w:themeColor="text1"/>
          <w:lang w:val="en-GB"/>
        </w:rPr>
        <w:t xml:space="preserve"> </w:t>
      </w:r>
      <w:r w:rsidR="007D14B8" w:rsidRPr="001A58EF">
        <w:rPr>
          <w:color w:val="000000" w:themeColor="text1"/>
          <w:lang w:val="en-GB"/>
        </w:rPr>
        <w:t>and the quenching of the HTL products at the desired conditions are</w:t>
      </w:r>
      <w:r w:rsidR="00AF3AE7" w:rsidRPr="001A58EF">
        <w:rPr>
          <w:color w:val="000000" w:themeColor="text1"/>
          <w:lang w:val="en-GB"/>
        </w:rPr>
        <w:t xml:space="preserve"> </w:t>
      </w:r>
      <w:r w:rsidR="00AF3AE7" w:rsidRPr="001B7C9E">
        <w:rPr>
          <w:lang w:val="en-GB"/>
        </w:rPr>
        <w:t>crucial to obtain a high-yield bio-crude with more attractive energy properties</w:t>
      </w:r>
      <w:r w:rsidR="00647EAE">
        <w:rPr>
          <w:lang w:val="en-GB"/>
        </w:rPr>
        <w:t xml:space="preserve"> </w:t>
      </w:r>
      <w:r w:rsidR="00EC656E">
        <w:rPr>
          <w:lang w:val="en-GB"/>
        </w:rPr>
        <w:t>(</w:t>
      </w:r>
      <w:proofErr w:type="spellStart"/>
      <w:r w:rsidR="00EC656E">
        <w:rPr>
          <w:lang w:val="en-GB"/>
        </w:rPr>
        <w:t>Basar</w:t>
      </w:r>
      <w:proofErr w:type="spellEnd"/>
      <w:r w:rsidR="00EC656E">
        <w:rPr>
          <w:lang w:val="en-GB"/>
        </w:rPr>
        <w:t xml:space="preserve"> et al. 2021</w:t>
      </w:r>
      <w:r w:rsidR="003D7452">
        <w:rPr>
          <w:lang w:val="en-GB"/>
        </w:rPr>
        <w:t>; Brand et al., 2014</w:t>
      </w:r>
      <w:r w:rsidR="00EC656E" w:rsidRPr="002E4DB2">
        <w:rPr>
          <w:lang w:val="en-GB"/>
        </w:rPr>
        <w:t>)</w:t>
      </w:r>
      <w:r w:rsidR="00AF3AE7" w:rsidRPr="00EC656E">
        <w:rPr>
          <w:lang w:val="en-GB"/>
        </w:rPr>
        <w:t>.</w:t>
      </w:r>
      <w:r w:rsidR="00AF3AE7" w:rsidRPr="001B7C9E">
        <w:rPr>
          <w:lang w:val="en-GB"/>
        </w:rPr>
        <w:t xml:space="preserve"> </w:t>
      </w:r>
      <w:r w:rsidR="00647EAE">
        <w:rPr>
          <w:lang w:val="en-GB"/>
        </w:rPr>
        <w:t xml:space="preserve">This poses a huge challenge for </w:t>
      </w:r>
      <w:r w:rsidRPr="001B7C9E">
        <w:rPr>
          <w:lang w:val="en-GB"/>
        </w:rPr>
        <w:t xml:space="preserve">HTL </w:t>
      </w:r>
      <w:r w:rsidR="00647EAE">
        <w:rPr>
          <w:lang w:val="en-GB"/>
        </w:rPr>
        <w:t xml:space="preserve">experimentation </w:t>
      </w:r>
      <w:r>
        <w:rPr>
          <w:lang w:val="en-GB"/>
        </w:rPr>
        <w:t xml:space="preserve">carried out </w:t>
      </w:r>
      <w:r w:rsidRPr="001B7C9E">
        <w:rPr>
          <w:lang w:val="en-GB"/>
        </w:rPr>
        <w:t>in batch reactor</w:t>
      </w:r>
      <w:r>
        <w:rPr>
          <w:lang w:val="en-GB"/>
        </w:rPr>
        <w:t>s</w:t>
      </w:r>
      <w:r w:rsidR="00647EAE">
        <w:rPr>
          <w:lang w:val="en-GB"/>
        </w:rPr>
        <w:t>.</w:t>
      </w:r>
      <w:r w:rsidRPr="001B7C9E">
        <w:rPr>
          <w:lang w:val="en-GB"/>
        </w:rPr>
        <w:t xml:space="preserve"> </w:t>
      </w:r>
      <w:r w:rsidR="00647EAE">
        <w:rPr>
          <w:lang w:val="en-GB"/>
        </w:rPr>
        <w:t>T</w:t>
      </w:r>
      <w:r w:rsidRPr="001B7C9E">
        <w:rPr>
          <w:lang w:val="en-GB"/>
        </w:rPr>
        <w:t xml:space="preserve">he minimisation of thermal transients </w:t>
      </w:r>
      <w:r w:rsidR="00647EAE">
        <w:rPr>
          <w:lang w:val="en-GB"/>
        </w:rPr>
        <w:t xml:space="preserve">has to be accomplished in reactors with volume sufficiently large to have </w:t>
      </w:r>
      <w:r w:rsidR="002A07E4">
        <w:rPr>
          <w:lang w:val="en-GB"/>
        </w:rPr>
        <w:t>feasible a</w:t>
      </w:r>
      <w:r w:rsidR="00647EAE">
        <w:rPr>
          <w:lang w:val="en-GB"/>
        </w:rPr>
        <w:t xml:space="preserve">nd </w:t>
      </w:r>
      <w:r w:rsidR="002A07E4">
        <w:rPr>
          <w:lang w:val="en-GB"/>
        </w:rPr>
        <w:t xml:space="preserve">reliable </w:t>
      </w:r>
      <w:r w:rsidR="00647EAE">
        <w:rPr>
          <w:lang w:val="en-GB"/>
        </w:rPr>
        <w:t xml:space="preserve">collection of HTL products for </w:t>
      </w:r>
      <w:r w:rsidR="002A07E4">
        <w:rPr>
          <w:lang w:val="en-GB"/>
        </w:rPr>
        <w:t xml:space="preserve">the needed </w:t>
      </w:r>
      <w:r w:rsidR="00647EAE">
        <w:rPr>
          <w:lang w:val="en-GB"/>
        </w:rPr>
        <w:t xml:space="preserve">qualitative </w:t>
      </w:r>
      <w:r w:rsidR="002A07E4">
        <w:rPr>
          <w:lang w:val="en-GB"/>
        </w:rPr>
        <w:t>and quantit</w:t>
      </w:r>
      <w:r w:rsidR="00647EAE">
        <w:rPr>
          <w:lang w:val="en-GB"/>
        </w:rPr>
        <w:t xml:space="preserve">ative chemical and physical analysis. </w:t>
      </w:r>
      <w:r w:rsidR="00AF3AE7" w:rsidRPr="001B7C9E">
        <w:rPr>
          <w:lang w:val="en-GB"/>
        </w:rPr>
        <w:t xml:space="preserve">To this end, </w:t>
      </w:r>
      <w:r w:rsidR="00EF3351" w:rsidRPr="001B7C9E">
        <w:rPr>
          <w:lang w:val="en-GB"/>
        </w:rPr>
        <w:t xml:space="preserve">in this work </w:t>
      </w:r>
      <w:r w:rsidR="00AF3AE7" w:rsidRPr="001B7C9E">
        <w:rPr>
          <w:lang w:val="en-GB"/>
        </w:rPr>
        <w:t xml:space="preserve">a lab-scale plant consisting in a batch autoclave </w:t>
      </w:r>
      <w:r>
        <w:rPr>
          <w:lang w:val="en-GB"/>
        </w:rPr>
        <w:t>of 5</w:t>
      </w:r>
      <w:r w:rsidR="007956EB">
        <w:rPr>
          <w:lang w:val="en-GB"/>
        </w:rPr>
        <w:t>00</w:t>
      </w:r>
      <w:r w:rsidR="00FF4BB0">
        <w:rPr>
          <w:lang w:val="en-GB"/>
        </w:rPr>
        <w:t xml:space="preserve"> </w:t>
      </w:r>
      <w:r w:rsidR="007956EB">
        <w:rPr>
          <w:lang w:val="en-GB"/>
        </w:rPr>
        <w:t>mL</w:t>
      </w:r>
      <w:r>
        <w:rPr>
          <w:lang w:val="en-GB"/>
        </w:rPr>
        <w:t xml:space="preserve"> </w:t>
      </w:r>
      <w:r w:rsidR="00AF3AE7" w:rsidRPr="001B7C9E">
        <w:rPr>
          <w:lang w:val="en-GB"/>
        </w:rPr>
        <w:t>was setup and optimised</w:t>
      </w:r>
      <w:r>
        <w:rPr>
          <w:lang w:val="en-GB"/>
        </w:rPr>
        <w:t xml:space="preserve"> </w:t>
      </w:r>
      <w:r w:rsidR="00512D98">
        <w:rPr>
          <w:lang w:val="en-GB"/>
        </w:rPr>
        <w:t xml:space="preserve">so to limit </w:t>
      </w:r>
      <w:r w:rsidR="00AF3AE7" w:rsidRPr="001B7C9E">
        <w:rPr>
          <w:lang w:val="en-GB"/>
        </w:rPr>
        <w:t>thermal transients that could lead to the formation of undesired products.</w:t>
      </w:r>
      <w:r w:rsidR="00512D98">
        <w:rPr>
          <w:lang w:val="en-GB"/>
        </w:rPr>
        <w:t xml:space="preserve"> </w:t>
      </w:r>
      <w:r w:rsidR="00A31B22" w:rsidRPr="001B7C9E">
        <w:rPr>
          <w:lang w:val="en-GB"/>
        </w:rPr>
        <w:t xml:space="preserve">Preliminary analyses were also carried out in terms of water pressurisation/depressurisation during heating/cooling ramps emulating a typical cycle performed during </w:t>
      </w:r>
      <w:proofErr w:type="gramStart"/>
      <w:r w:rsidR="00A31B22" w:rsidRPr="001B7C9E">
        <w:rPr>
          <w:lang w:val="en-GB"/>
        </w:rPr>
        <w:t>a</w:t>
      </w:r>
      <w:proofErr w:type="gramEnd"/>
      <w:r w:rsidR="00A31B22" w:rsidRPr="001B7C9E">
        <w:rPr>
          <w:lang w:val="en-GB"/>
        </w:rPr>
        <w:t xml:space="preserve"> HTL test, so to verify the presence of water in the desired liquid state. </w:t>
      </w:r>
      <w:r w:rsidR="00787B2E" w:rsidRPr="001B7C9E">
        <w:rPr>
          <w:lang w:val="en-GB"/>
        </w:rPr>
        <w:t xml:space="preserve">Finally, preliminary </w:t>
      </w:r>
      <w:r w:rsidR="00512D98">
        <w:rPr>
          <w:lang w:val="en-GB"/>
        </w:rPr>
        <w:t xml:space="preserve">HTL </w:t>
      </w:r>
      <w:r w:rsidR="00787B2E" w:rsidRPr="001B7C9E">
        <w:rPr>
          <w:lang w:val="en-GB"/>
        </w:rPr>
        <w:t>test</w:t>
      </w:r>
      <w:r w:rsidR="00E04207">
        <w:rPr>
          <w:lang w:val="en-GB"/>
        </w:rPr>
        <w:t>s</w:t>
      </w:r>
      <w:r w:rsidR="00787B2E" w:rsidRPr="001B7C9E">
        <w:rPr>
          <w:lang w:val="en-GB"/>
        </w:rPr>
        <w:t xml:space="preserve"> </w:t>
      </w:r>
      <w:r w:rsidR="00E04207">
        <w:rPr>
          <w:lang w:val="en-GB"/>
        </w:rPr>
        <w:t xml:space="preserve">were </w:t>
      </w:r>
      <w:r w:rsidR="00512D98">
        <w:rPr>
          <w:lang w:val="en-GB"/>
        </w:rPr>
        <w:t>performed</w:t>
      </w:r>
      <w:r w:rsidR="00787B2E" w:rsidRPr="001B7C9E">
        <w:rPr>
          <w:lang w:val="en-GB"/>
        </w:rPr>
        <w:t xml:space="preserve"> on a municipal</w:t>
      </w:r>
      <w:r w:rsidR="00166F65">
        <w:rPr>
          <w:lang w:val="en-GB"/>
        </w:rPr>
        <w:t xml:space="preserve"> sewage</w:t>
      </w:r>
      <w:r w:rsidR="00787B2E" w:rsidRPr="001B7C9E">
        <w:rPr>
          <w:lang w:val="en-GB"/>
        </w:rPr>
        <w:t xml:space="preserve"> sludge </w:t>
      </w:r>
      <w:r w:rsidR="0094589A" w:rsidRPr="001B7C9E">
        <w:rPr>
          <w:lang w:val="en-GB"/>
        </w:rPr>
        <w:t>to</w:t>
      </w:r>
      <w:r w:rsidR="00787B2E" w:rsidRPr="001B7C9E">
        <w:rPr>
          <w:lang w:val="en-GB"/>
        </w:rPr>
        <w:t xml:space="preserve"> evaluate the yield of </w:t>
      </w:r>
      <w:r w:rsidR="00512D98">
        <w:rPr>
          <w:lang w:val="en-GB"/>
        </w:rPr>
        <w:t>both the target bio-crude and other by-</w:t>
      </w:r>
      <w:r w:rsidR="00787B2E" w:rsidRPr="001B7C9E">
        <w:rPr>
          <w:lang w:val="en-GB"/>
        </w:rPr>
        <w:t>product</w:t>
      </w:r>
      <w:r w:rsidR="00512D98">
        <w:rPr>
          <w:lang w:val="en-GB"/>
        </w:rPr>
        <w:t>s</w:t>
      </w:r>
      <w:r w:rsidR="002A07E4">
        <w:rPr>
          <w:lang w:val="en-GB"/>
        </w:rPr>
        <w:t xml:space="preserve">. </w:t>
      </w:r>
      <w:r w:rsidR="002A07E4" w:rsidRPr="00FC56DD">
        <w:rPr>
          <w:lang w:val="en-GB"/>
        </w:rPr>
        <w:t>The obtained results were compared with data present in literature</w:t>
      </w:r>
      <w:r w:rsidR="00787B2E" w:rsidRPr="00FC56DD">
        <w:rPr>
          <w:lang w:val="en-GB"/>
        </w:rPr>
        <w:t>.</w:t>
      </w:r>
    </w:p>
    <w:p w14:paraId="5741900F" w14:textId="5E070F4E" w:rsidR="00453E24" w:rsidRPr="001B7C9E" w:rsidRDefault="008A3D1E" w:rsidP="008A3D1E">
      <w:pPr>
        <w:pStyle w:val="CETHeading1"/>
        <w:tabs>
          <w:tab w:val="num" w:pos="360"/>
        </w:tabs>
        <w:rPr>
          <w:lang w:val="en-GB"/>
        </w:rPr>
      </w:pPr>
      <w:r w:rsidRPr="001B7C9E">
        <w:rPr>
          <w:lang w:val="en-GB"/>
        </w:rPr>
        <w:t>Materials and Methods</w:t>
      </w:r>
    </w:p>
    <w:p w14:paraId="445E9532" w14:textId="413F60B8" w:rsidR="003331A6" w:rsidRPr="003331A6" w:rsidRDefault="003331A6" w:rsidP="003331A6">
      <w:pPr>
        <w:pStyle w:val="CETBodytext"/>
      </w:pPr>
      <w:r>
        <w:t>In the following</w:t>
      </w:r>
      <w:r w:rsidR="0094589A">
        <w:t>,</w:t>
      </w:r>
      <w:r>
        <w:t xml:space="preserve"> the main properties of the sludge and </w:t>
      </w:r>
      <w:r w:rsidR="0094589A">
        <w:t xml:space="preserve">the </w:t>
      </w:r>
      <w:r>
        <w:t xml:space="preserve">description of the experimental apparatus and operating conditions </w:t>
      </w:r>
      <w:r w:rsidR="0094589A">
        <w:t>for</w:t>
      </w:r>
      <w:r>
        <w:t xml:space="preserve"> HTL test and </w:t>
      </w:r>
      <w:r w:rsidR="009A07C4">
        <w:t>separation</w:t>
      </w:r>
      <w:r>
        <w:t xml:space="preserve"> of the products is reported.</w:t>
      </w:r>
    </w:p>
    <w:p w14:paraId="0636B784" w14:textId="212F3F81" w:rsidR="00453E24" w:rsidRPr="001B7C9E" w:rsidRDefault="009A07C4">
      <w:pPr>
        <w:pStyle w:val="CETheadingx"/>
      </w:pPr>
      <w:r>
        <w:t xml:space="preserve">2.1 </w:t>
      </w:r>
      <w:r w:rsidR="00EE515B">
        <w:t>Feedstock</w:t>
      </w:r>
    </w:p>
    <w:p w14:paraId="70AFCFFB" w14:textId="76259C38" w:rsidR="00835C10" w:rsidRDefault="002E461C" w:rsidP="001A58EF">
      <w:pPr>
        <w:pStyle w:val="CETBodytext"/>
        <w:spacing w:after="120"/>
        <w:rPr>
          <w:lang w:val="en-GB"/>
        </w:rPr>
      </w:pPr>
      <w:r w:rsidRPr="001B7C9E">
        <w:rPr>
          <w:lang w:val="en-GB"/>
        </w:rPr>
        <w:t>The municipal sludge used in this work was supplied from a wastewater treatment plant located in Milano, Italy. The main properties</w:t>
      </w:r>
      <w:r w:rsidR="00F03BD2">
        <w:rPr>
          <w:lang w:val="en-GB"/>
        </w:rPr>
        <w:t xml:space="preserve"> (Table 1)</w:t>
      </w:r>
      <w:r w:rsidRPr="001B7C9E">
        <w:rPr>
          <w:lang w:val="en-GB"/>
        </w:rPr>
        <w:t xml:space="preserve"> of the sludge are reported in a previous work of </w:t>
      </w:r>
      <w:proofErr w:type="spellStart"/>
      <w:r w:rsidRPr="001B7C9E">
        <w:rPr>
          <w:lang w:val="en-GB"/>
        </w:rPr>
        <w:t>Cammarota</w:t>
      </w:r>
      <w:proofErr w:type="spellEnd"/>
      <w:r w:rsidRPr="001B7C9E">
        <w:rPr>
          <w:lang w:val="en-GB"/>
        </w:rPr>
        <w:t xml:space="preserve"> et al. (2019). </w:t>
      </w:r>
      <w:r w:rsidR="0094589A">
        <w:rPr>
          <w:lang w:val="en-GB"/>
        </w:rPr>
        <w:t>T</w:t>
      </w:r>
      <w:r w:rsidRPr="001B7C9E">
        <w:rPr>
          <w:lang w:val="en-GB"/>
        </w:rPr>
        <w:t>he sludge has a total C content of 34.6%, HHV=13</w:t>
      </w:r>
      <w:r w:rsidR="007D4DE0" w:rsidRPr="001B7C9E">
        <w:rPr>
          <w:lang w:val="en-GB"/>
        </w:rPr>
        <w:t>.5 MJ/kg, and</w:t>
      </w:r>
      <w:r w:rsidR="00E476B4" w:rsidRPr="001B7C9E">
        <w:rPr>
          <w:lang w:val="en-GB"/>
        </w:rPr>
        <w:t xml:space="preserve"> the mo</w:t>
      </w:r>
      <w:r w:rsidR="00DD50A4">
        <w:rPr>
          <w:lang w:val="en-GB"/>
        </w:rPr>
        <w:t>st</w:t>
      </w:r>
      <w:r w:rsidR="00E476B4" w:rsidRPr="001B7C9E">
        <w:rPr>
          <w:lang w:val="en-GB"/>
        </w:rPr>
        <w:t xml:space="preserve"> abundant element</w:t>
      </w:r>
      <w:r w:rsidR="00DD50A4">
        <w:rPr>
          <w:lang w:val="en-GB"/>
        </w:rPr>
        <w:t>s</w:t>
      </w:r>
      <w:r w:rsidR="00E476B4" w:rsidRPr="001B7C9E">
        <w:rPr>
          <w:lang w:val="en-GB"/>
        </w:rPr>
        <w:t xml:space="preserve"> are Fe (26710 ppm), Ca (13780 ppm) and P (14960 ppm).</w:t>
      </w:r>
      <w:r w:rsidR="007D4DE0" w:rsidRPr="001B7C9E">
        <w:rPr>
          <w:lang w:val="en-GB"/>
        </w:rPr>
        <w:t xml:space="preserve"> </w:t>
      </w:r>
      <w:r w:rsidRPr="001B7C9E">
        <w:rPr>
          <w:lang w:val="en-GB"/>
        </w:rPr>
        <w:t xml:space="preserve">Prior </w:t>
      </w:r>
      <w:r w:rsidR="00882C9B">
        <w:rPr>
          <w:lang w:val="en-GB"/>
        </w:rPr>
        <w:t>to the</w:t>
      </w:r>
      <w:r w:rsidR="00882C9B" w:rsidRPr="001B7C9E">
        <w:rPr>
          <w:lang w:val="en-GB"/>
        </w:rPr>
        <w:t xml:space="preserve"> </w:t>
      </w:r>
      <w:r w:rsidRPr="001B7C9E">
        <w:rPr>
          <w:lang w:val="en-GB"/>
        </w:rPr>
        <w:t>HTL test</w:t>
      </w:r>
      <w:r w:rsidR="0094589A">
        <w:rPr>
          <w:lang w:val="en-GB"/>
        </w:rPr>
        <w:t>,</w:t>
      </w:r>
      <w:r w:rsidRPr="001B7C9E">
        <w:rPr>
          <w:lang w:val="en-GB"/>
        </w:rPr>
        <w:t xml:space="preserve"> the biomass was dried in an oven at 105 °C, until n</w:t>
      </w:r>
      <w:r w:rsidR="00E476B4" w:rsidRPr="001B7C9E">
        <w:rPr>
          <w:lang w:val="en-GB"/>
        </w:rPr>
        <w:t>o ch</w:t>
      </w:r>
      <w:r w:rsidR="00C37F7C" w:rsidRPr="001B7C9E">
        <w:rPr>
          <w:lang w:val="en-GB"/>
        </w:rPr>
        <w:t xml:space="preserve">ange in weight was observed. </w:t>
      </w:r>
    </w:p>
    <w:p w14:paraId="758D280E" w14:textId="32F373DA" w:rsidR="00772556" w:rsidRPr="001B7C9E" w:rsidRDefault="00772556" w:rsidP="008F0359">
      <w:pPr>
        <w:pStyle w:val="CETTabletitle"/>
        <w:spacing w:before="0"/>
      </w:pPr>
      <w:r w:rsidRPr="001B7C9E">
        <w:t>Ta</w:t>
      </w:r>
      <w:r w:rsidR="00F03BD2">
        <w:t>ble 1</w:t>
      </w:r>
      <w:r w:rsidR="00F658ED">
        <w:t>: Main properties of the sludge</w:t>
      </w:r>
      <w:r w:rsidR="0094589A">
        <w:t xml:space="preserve"> used in this work</w:t>
      </w:r>
      <w:r w:rsidR="00F658ED">
        <w:t xml:space="preserve"> (</w:t>
      </w:r>
      <w:proofErr w:type="spellStart"/>
      <w:r w:rsidR="00F658ED">
        <w:t>Cammarota</w:t>
      </w:r>
      <w:proofErr w:type="spellEnd"/>
      <w:r w:rsidR="00F658ED">
        <w:t xml:space="preserve"> et al. 2019)</w:t>
      </w:r>
      <w:r w:rsidR="008C4A09">
        <w:t>.</w:t>
      </w:r>
    </w:p>
    <w:tbl>
      <w:tblPr>
        <w:tblpPr w:leftFromText="180" w:rightFromText="180" w:vertAnchor="text" w:tblpY="1"/>
        <w:tblOverlap w:val="never"/>
        <w:tblW w:w="8090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9"/>
        <w:gridCol w:w="410"/>
        <w:gridCol w:w="452"/>
        <w:gridCol w:w="1192"/>
        <w:gridCol w:w="1263"/>
        <w:gridCol w:w="19"/>
        <w:gridCol w:w="307"/>
        <w:gridCol w:w="8"/>
        <w:gridCol w:w="8"/>
        <w:gridCol w:w="8"/>
        <w:gridCol w:w="8"/>
        <w:gridCol w:w="667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334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8"/>
        <w:gridCol w:w="534"/>
        <w:gridCol w:w="8"/>
        <w:gridCol w:w="8"/>
        <w:gridCol w:w="8"/>
        <w:gridCol w:w="8"/>
        <w:gridCol w:w="8"/>
        <w:gridCol w:w="8"/>
        <w:gridCol w:w="7"/>
        <w:gridCol w:w="7"/>
        <w:gridCol w:w="7"/>
        <w:gridCol w:w="6"/>
        <w:gridCol w:w="6"/>
      </w:tblGrid>
      <w:tr w:rsidR="005308F9" w:rsidRPr="001B7C9E" w14:paraId="6F7629F6" w14:textId="76A44EC3" w:rsidTr="001A58EF">
        <w:trPr>
          <w:trHeight w:val="331"/>
        </w:trPr>
        <w:tc>
          <w:tcPr>
            <w:tcW w:w="0" w:type="auto"/>
            <w:gridSpan w:val="3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8D717ED" w14:textId="5F4650DB" w:rsidR="005308F9" w:rsidRPr="001B7C9E" w:rsidRDefault="00F0216F" w:rsidP="001A58EF">
            <w:pPr>
              <w:pStyle w:val="CETBodytext"/>
              <w:tabs>
                <w:tab w:val="center" w:pos="1557"/>
                <w:tab w:val="right" w:pos="3114"/>
              </w:tabs>
              <w:jc w:val="left"/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5308F9" w:rsidRPr="00F658ED">
              <w:rPr>
                <w:lang w:val="en-GB"/>
              </w:rPr>
              <w:t>Proximate analysis [%</w:t>
            </w:r>
            <w:proofErr w:type="spellStart"/>
            <w:r w:rsidR="005308F9" w:rsidRPr="00F658ED">
              <w:rPr>
                <w:vertAlign w:val="subscript"/>
                <w:lang w:val="en-GB"/>
              </w:rPr>
              <w:t>wt</w:t>
            </w:r>
            <w:proofErr w:type="spellEnd"/>
            <w:r w:rsidR="005308F9" w:rsidRPr="00F658ED">
              <w:rPr>
                <w:lang w:val="en-GB"/>
              </w:rPr>
              <w:t>]</w:t>
            </w:r>
            <w:r>
              <w:rPr>
                <w:lang w:val="en-GB"/>
              </w:rPr>
              <w:tab/>
            </w:r>
          </w:p>
        </w:tc>
        <w:tc>
          <w:tcPr>
            <w:tcW w:w="2194" w:type="dxa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1739BD5" w14:textId="299A54F5" w:rsidR="005308F9" w:rsidRP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Ultimate analysis [%</w:t>
            </w:r>
            <w:proofErr w:type="spellStart"/>
            <w:r>
              <w:rPr>
                <w:vertAlign w:val="subscript"/>
                <w:lang w:val="en-GB"/>
              </w:rPr>
              <w:t>wt</w:t>
            </w:r>
            <w:proofErr w:type="spellEnd"/>
            <w:r>
              <w:rPr>
                <w:lang w:val="en-GB"/>
              </w:rPr>
              <w:t>]</w:t>
            </w:r>
          </w:p>
        </w:tc>
        <w:tc>
          <w:tcPr>
            <w:tcW w:w="1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DEBE86E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gridSpan w:val="44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B4D65CE" w14:textId="24AF3EEF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Main metal content [mg/kg]</w:t>
            </w:r>
          </w:p>
        </w:tc>
        <w:tc>
          <w:tcPr>
            <w:tcW w:w="0" w:type="auto"/>
            <w:gridSpan w:val="4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3475F0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86E960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</w:tr>
      <w:tr w:rsidR="006B4948" w:rsidRPr="001B7C9E" w14:paraId="18009FF6" w14:textId="7415B5E2" w:rsidTr="00F0216F">
        <w:trPr>
          <w:trHeight w:val="280"/>
        </w:trPr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2334BBD4" w14:textId="70D9B460" w:rsidR="005308F9" w:rsidRPr="00F658ED" w:rsidRDefault="005308F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Moisture</w:t>
            </w:r>
          </w:p>
        </w:tc>
        <w:tc>
          <w:tcPr>
            <w:tcW w:w="0" w:type="auto"/>
            <w:gridSpan w:val="2"/>
            <w:tcBorders>
              <w:top w:val="single" w:sz="4" w:space="0" w:color="008000"/>
            </w:tcBorders>
            <w:shd w:val="clear" w:color="auto" w:fill="FFFFFF"/>
          </w:tcPr>
          <w:p w14:paraId="3916786D" w14:textId="554294F0" w:rsidR="005308F9" w:rsidRPr="001B7C9E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12.1</w:t>
            </w: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7C1761B2" w14:textId="11E6FBFE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129" w:type="dxa"/>
            <w:tcBorders>
              <w:top w:val="single" w:sz="4" w:space="0" w:color="008000"/>
            </w:tcBorders>
            <w:shd w:val="clear" w:color="auto" w:fill="FFFFFF"/>
          </w:tcPr>
          <w:p w14:paraId="2403A069" w14:textId="79AECC43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34.6</w:t>
            </w:r>
          </w:p>
        </w:tc>
        <w:tc>
          <w:tcPr>
            <w:tcW w:w="17" w:type="dxa"/>
            <w:tcBorders>
              <w:top w:val="single" w:sz="4" w:space="0" w:color="008000"/>
            </w:tcBorders>
            <w:shd w:val="clear" w:color="auto" w:fill="FFFFFF"/>
          </w:tcPr>
          <w:p w14:paraId="75A3F1B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0364F8CF" w14:textId="5E40C3C9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Fe</w:t>
            </w: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27AE811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2CE42F7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0ECA4D51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077402A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04CB7642" w14:textId="60E0813D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26710</w:t>
            </w: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9A59C40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4DE5871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0C848078" w14:textId="2DDE8D75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524141C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2C8636E2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780C2264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3F434AC" w14:textId="4D0C9DBC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A9589A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15CE4CA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265F174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290CE79F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6F1E76A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7FEF823A" w14:textId="511B5EB3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Mg</w:t>
            </w: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2263F74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7011997B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6E3A0336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429A0E7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2B2937E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675288DC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645947FF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502BE6F0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F47753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3683AEF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40A9C402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4BD14AC1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72DB9A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70376ECA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19A22DA7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7DBE134A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7FF703DA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425BB9B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53F023CD" w14:textId="06D3B380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3597</w:t>
            </w: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0527D10C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638B5D66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748AFA0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12A7C96C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49E70216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E47D544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64CD724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8A6398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3E9A6184" w14:textId="7DDC3D4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439BC9F6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8000"/>
            </w:tcBorders>
            <w:shd w:val="clear" w:color="auto" w:fill="FFFFFF"/>
          </w:tcPr>
          <w:p w14:paraId="4A9FC75F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</w:tr>
      <w:tr w:rsidR="006B4948" w:rsidRPr="001B7C9E" w14:paraId="044E494D" w14:textId="6EB05BA7" w:rsidTr="00F0216F">
        <w:trPr>
          <w:trHeight w:val="324"/>
        </w:trPr>
        <w:tc>
          <w:tcPr>
            <w:tcW w:w="0" w:type="auto"/>
            <w:shd w:val="clear" w:color="auto" w:fill="FFFFFF"/>
          </w:tcPr>
          <w:p w14:paraId="496A5456" w14:textId="0DFBEFB2" w:rsidR="005308F9" w:rsidRPr="001B7C9E" w:rsidRDefault="005308F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Volatile matter</w:t>
            </w:r>
          </w:p>
        </w:tc>
        <w:tc>
          <w:tcPr>
            <w:tcW w:w="1044" w:type="dxa"/>
            <w:gridSpan w:val="2"/>
            <w:shd w:val="clear" w:color="auto" w:fill="FFFFFF"/>
          </w:tcPr>
          <w:p w14:paraId="0F323E89" w14:textId="0AF96CB4" w:rsidR="005308F9" w:rsidRPr="001B7C9E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57.4</w:t>
            </w:r>
          </w:p>
        </w:tc>
        <w:tc>
          <w:tcPr>
            <w:tcW w:w="1065" w:type="dxa"/>
            <w:shd w:val="clear" w:color="auto" w:fill="FFFFFF"/>
          </w:tcPr>
          <w:p w14:paraId="6CA494FB" w14:textId="655E0B06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H</w:t>
            </w:r>
          </w:p>
        </w:tc>
        <w:tc>
          <w:tcPr>
            <w:tcW w:w="1129" w:type="dxa"/>
            <w:shd w:val="clear" w:color="auto" w:fill="FFFFFF"/>
          </w:tcPr>
          <w:p w14:paraId="050D68D8" w14:textId="77F2A066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4.9</w:t>
            </w:r>
          </w:p>
        </w:tc>
        <w:tc>
          <w:tcPr>
            <w:tcW w:w="17" w:type="dxa"/>
            <w:shd w:val="clear" w:color="auto" w:fill="FFFFFF"/>
          </w:tcPr>
          <w:p w14:paraId="395F2357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3547080E" w14:textId="2D7D4224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Ca</w:t>
            </w:r>
          </w:p>
        </w:tc>
        <w:tc>
          <w:tcPr>
            <w:tcW w:w="0" w:type="auto"/>
            <w:shd w:val="clear" w:color="auto" w:fill="FFFFFF"/>
          </w:tcPr>
          <w:p w14:paraId="2F63CEB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51462AE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0DF35F3B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123F9B1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65D0AF64" w14:textId="7F9C5EFD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13780</w:t>
            </w:r>
          </w:p>
        </w:tc>
        <w:tc>
          <w:tcPr>
            <w:tcW w:w="0" w:type="auto"/>
            <w:shd w:val="clear" w:color="auto" w:fill="FFFFFF"/>
          </w:tcPr>
          <w:p w14:paraId="3358DFB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532FCE7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11E57AB4" w14:textId="797D338E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2BA10A0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5C0AA90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2D46945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200430E4" w14:textId="0490422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5BD45426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7BAD0DEB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38FBE197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320A2304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49EE1D0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7EB91531" w14:textId="61C8B765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Si</w:t>
            </w:r>
          </w:p>
        </w:tc>
        <w:tc>
          <w:tcPr>
            <w:tcW w:w="0" w:type="auto"/>
            <w:shd w:val="clear" w:color="auto" w:fill="FFFFFF"/>
          </w:tcPr>
          <w:p w14:paraId="1D6EFF00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463962C4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228EC2C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59D35ABB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1C4C9D3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4238F6D1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1E61789C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1C5CB37E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2B5EB2CE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6AFE4DFE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3902FC37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4292960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0C9298C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6EFB1ADF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3242D96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499ABF3F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50A7BFA2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4E6F8B5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284121C8" w14:textId="1F286D86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2544</w:t>
            </w:r>
          </w:p>
        </w:tc>
        <w:tc>
          <w:tcPr>
            <w:tcW w:w="0" w:type="auto"/>
            <w:shd w:val="clear" w:color="auto" w:fill="FFFFFF"/>
          </w:tcPr>
          <w:p w14:paraId="1A9A1F91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25B9BF64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61F01E44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53C606B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6EFCAFE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6EF478A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33C5426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3191825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65B9D0B1" w14:textId="5BF9D62B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24880ABE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14:paraId="1210D8D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</w:tr>
      <w:tr w:rsidR="006B4948" w:rsidRPr="001B7C9E" w14:paraId="547887D0" w14:textId="2B5B8454" w:rsidTr="00F0216F">
        <w:trPr>
          <w:trHeight w:val="304"/>
        </w:trPr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18B56E5" w14:textId="33245926" w:rsidR="005308F9" w:rsidRPr="001B7C9E" w:rsidRDefault="005308F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Fixed carbon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FFFFFF"/>
          </w:tcPr>
          <w:p w14:paraId="49916CA0" w14:textId="13FCC00D" w:rsidR="005308F9" w:rsidRPr="001B7C9E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9.3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8B39706" w14:textId="4A435101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129" w:type="dxa"/>
            <w:tcBorders>
              <w:bottom w:val="nil"/>
            </w:tcBorders>
            <w:shd w:val="clear" w:color="auto" w:fill="FFFFFF"/>
          </w:tcPr>
          <w:p w14:paraId="23058C53" w14:textId="6183DE30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5.9</w:t>
            </w:r>
          </w:p>
        </w:tc>
        <w:tc>
          <w:tcPr>
            <w:tcW w:w="17" w:type="dxa"/>
            <w:tcBorders>
              <w:bottom w:val="nil"/>
            </w:tcBorders>
            <w:shd w:val="clear" w:color="auto" w:fill="FFFFFF"/>
          </w:tcPr>
          <w:p w14:paraId="2DBB9BE0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304211E" w14:textId="11DB864B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9DBDC62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B8FD88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27D6FF6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BFD83F0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D52EA1C" w14:textId="06B88208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14960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59909EF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3A843C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0EC332C" w14:textId="6C116DA5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0741AB1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130CDF1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FE25EFE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85987FD" w14:textId="07B54345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DC2F56A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B4DAAC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D9CF114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8D957DF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50CC40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0F04448" w14:textId="6C308DA2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K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C78801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5D67E4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0B6F256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57B9BD8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21675B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2AE31C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FB7E89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D62F8A4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08E99B3A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04F4A610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8936AD0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0A756D7B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5F5B8D6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EC0C99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501F274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6BF351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06585BC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1C83BDD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9AD5A76" w14:textId="5E757CFE" w:rsidR="005308F9" w:rsidRDefault="005308F9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2019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2B605DA2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2AF4E69F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0402247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076FC05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5323BBE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32AD112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2CA392B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A3FE433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A743E27" w14:textId="36425FC2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8813D79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1204CF5" w14:textId="77777777" w:rsidR="005308F9" w:rsidRDefault="005308F9">
            <w:pPr>
              <w:pStyle w:val="CETBodytext"/>
              <w:jc w:val="center"/>
              <w:rPr>
                <w:lang w:val="en-GB"/>
              </w:rPr>
            </w:pPr>
          </w:p>
        </w:tc>
      </w:tr>
      <w:tr w:rsidR="006B4948" w:rsidRPr="001B7C9E" w14:paraId="2E813B2F" w14:textId="0F353277" w:rsidTr="00F0216F">
        <w:trPr>
          <w:trHeight w:val="324"/>
        </w:trPr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6B055D82" w14:textId="6F363970" w:rsidR="005308F9" w:rsidRPr="001B7C9E" w:rsidRDefault="005308F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Ash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47E12675" w14:textId="6AF220FD" w:rsidR="005308F9" w:rsidRPr="001B7C9E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21.2</w:t>
            </w: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3B262D31" w14:textId="13875E85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S</w:t>
            </w:r>
          </w:p>
        </w:tc>
        <w:tc>
          <w:tcPr>
            <w:tcW w:w="1129" w:type="dxa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3F14DCC6" w14:textId="7EF070B8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0.8</w:t>
            </w:r>
          </w:p>
        </w:tc>
        <w:tc>
          <w:tcPr>
            <w:tcW w:w="17" w:type="dxa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6CE60948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6D604DF3" w14:textId="1157B5CC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Al</w:t>
            </w: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34CF8DAF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664A276A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5353D9DC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49877DC0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23CECB9B" w14:textId="240BED8E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6932</w:t>
            </w: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7DE59287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5D9E1A27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4F65AFA2" w14:textId="193D3EC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0B0FA7C8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72A45388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08F1B1BB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25258B3C" w14:textId="3A632791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2C5B35F8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42323546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1B329187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7E05AC60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3AB2D1E4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06DDC272" w14:textId="79BDD479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Zn</w:t>
            </w: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04794045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3AA35B07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27E7EBB8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074AB2F6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57C034EC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03BB2C5D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3EA18B1B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566261CD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174ECAE5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44CA695D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2438FB24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39074C33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68031C3D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5A5F3696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11BDFDF3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40C40481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3AEDAFAA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4B78EEB0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7969BF49" w14:textId="4C594A41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586</w:t>
            </w: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5DE74707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0C9CC89D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75C8E62E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373366ED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4A006172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0BA739F8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2967939F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0596FAE7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68DC3C31" w14:textId="20224615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63FE1A8F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008000"/>
            </w:tcBorders>
            <w:shd w:val="clear" w:color="auto" w:fill="FFFFFF"/>
          </w:tcPr>
          <w:p w14:paraId="264DDC55" w14:textId="77777777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</w:tr>
      <w:tr w:rsidR="005308F9" w:rsidRPr="001B7C9E" w14:paraId="17CC73D7" w14:textId="140A7070" w:rsidTr="001A58EF">
        <w:trPr>
          <w:gridAfter w:val="2"/>
          <w:trHeight w:val="324"/>
        </w:trPr>
        <w:tc>
          <w:tcPr>
            <w:tcW w:w="0" w:type="auto"/>
            <w:gridSpan w:val="2"/>
            <w:tcBorders>
              <w:top w:val="single" w:sz="4" w:space="0" w:color="008000"/>
            </w:tcBorders>
            <w:shd w:val="clear" w:color="auto" w:fill="FFFFFF"/>
          </w:tcPr>
          <w:p w14:paraId="4EC260D8" w14:textId="77777777" w:rsidR="005308F9" w:rsidRDefault="005308F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HHV [MJ/kg]</w:t>
            </w:r>
          </w:p>
        </w:tc>
        <w:tc>
          <w:tcPr>
            <w:tcW w:w="5497" w:type="dxa"/>
            <w:gridSpan w:val="51"/>
            <w:tcBorders>
              <w:top w:val="single" w:sz="4" w:space="0" w:color="008000"/>
            </w:tcBorders>
            <w:shd w:val="clear" w:color="auto" w:fill="FFFFFF"/>
          </w:tcPr>
          <w:p w14:paraId="14F9424E" w14:textId="02D0B6B6" w:rsidR="005308F9" w:rsidRDefault="005308F9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13.5</w:t>
            </w:r>
          </w:p>
        </w:tc>
      </w:tr>
    </w:tbl>
    <w:p w14:paraId="3356E0ED" w14:textId="77777777" w:rsidR="00F0216F" w:rsidRDefault="00F0216F">
      <w:pPr>
        <w:pStyle w:val="CETheadingx"/>
      </w:pPr>
    </w:p>
    <w:p w14:paraId="3CD5C9F9" w14:textId="77777777" w:rsidR="00F0216F" w:rsidRPr="00FF4BB0" w:rsidRDefault="00F0216F" w:rsidP="001A58EF">
      <w:pPr>
        <w:pStyle w:val="CETBodytext"/>
        <w:rPr>
          <w:lang w:val="en-GB"/>
        </w:rPr>
      </w:pPr>
    </w:p>
    <w:p w14:paraId="7B8E8DA7" w14:textId="77777777" w:rsidR="00F0216F" w:rsidRPr="00835181" w:rsidRDefault="00F0216F" w:rsidP="001A58EF">
      <w:pPr>
        <w:pStyle w:val="CETBodytext"/>
        <w:rPr>
          <w:lang w:val="en-GB"/>
        </w:rPr>
      </w:pPr>
    </w:p>
    <w:p w14:paraId="111BDD6F" w14:textId="77777777" w:rsidR="00F0216F" w:rsidRPr="001A58EF" w:rsidRDefault="00F0216F" w:rsidP="001A58EF">
      <w:pPr>
        <w:pStyle w:val="CETBodytext"/>
        <w:rPr>
          <w:lang w:val="en-GB"/>
        </w:rPr>
      </w:pPr>
    </w:p>
    <w:p w14:paraId="34D6C07F" w14:textId="77777777" w:rsidR="00F0216F" w:rsidRPr="001A58EF" w:rsidRDefault="00F0216F" w:rsidP="001A58EF">
      <w:pPr>
        <w:pStyle w:val="CETBodytext"/>
        <w:rPr>
          <w:lang w:val="en-GB"/>
        </w:rPr>
      </w:pPr>
    </w:p>
    <w:p w14:paraId="797E4602" w14:textId="77777777" w:rsidR="00F0216F" w:rsidRPr="001A58EF" w:rsidRDefault="00F0216F" w:rsidP="001A58EF">
      <w:pPr>
        <w:pStyle w:val="CETBodytext"/>
        <w:rPr>
          <w:lang w:val="en-GB"/>
        </w:rPr>
      </w:pPr>
    </w:p>
    <w:p w14:paraId="7C506404" w14:textId="6E421664" w:rsidR="00F0216F" w:rsidRPr="00F0216F" w:rsidRDefault="00F0216F">
      <w:pPr>
        <w:pStyle w:val="CETBodytext"/>
      </w:pPr>
      <w:r>
        <w:br w:type="textWrapping" w:clear="all"/>
      </w:r>
    </w:p>
    <w:p w14:paraId="4DCEA7EB" w14:textId="5E6873AF" w:rsidR="008A3D1E" w:rsidRPr="001B7C9E" w:rsidRDefault="009A07C4">
      <w:pPr>
        <w:pStyle w:val="CETheadingx"/>
      </w:pPr>
      <w:r>
        <w:t xml:space="preserve">2.2 </w:t>
      </w:r>
      <w:r w:rsidR="00835C10" w:rsidRPr="001B7C9E">
        <w:t>Experimental apparatus and procedure</w:t>
      </w:r>
      <w:r w:rsidR="00882C9B">
        <w:t>s</w:t>
      </w:r>
    </w:p>
    <w:p w14:paraId="689E5A6A" w14:textId="751B1FC6" w:rsidR="0044270E" w:rsidRPr="001B7C9E" w:rsidRDefault="00C37F7C" w:rsidP="00AE0A6F">
      <w:pPr>
        <w:pStyle w:val="CETBodytext"/>
        <w:rPr>
          <w:lang w:val="en-GB"/>
        </w:rPr>
      </w:pPr>
      <w:r w:rsidRPr="001B7C9E">
        <w:rPr>
          <w:lang w:val="en-GB"/>
        </w:rPr>
        <w:t xml:space="preserve">The </w:t>
      </w:r>
      <w:r w:rsidR="008A3D1E" w:rsidRPr="001B7C9E">
        <w:rPr>
          <w:lang w:val="en-GB"/>
        </w:rPr>
        <w:t xml:space="preserve">analysis of </w:t>
      </w:r>
      <w:r w:rsidR="00835C10" w:rsidRPr="001B7C9E">
        <w:rPr>
          <w:lang w:val="en-GB"/>
        </w:rPr>
        <w:t>thermal transient</w:t>
      </w:r>
      <w:r w:rsidR="00882C9B">
        <w:rPr>
          <w:lang w:val="en-GB"/>
        </w:rPr>
        <w:t xml:space="preserve">s along </w:t>
      </w:r>
      <w:r w:rsidR="008A3D1E" w:rsidRPr="001B7C9E">
        <w:rPr>
          <w:lang w:val="en-GB"/>
        </w:rPr>
        <w:t xml:space="preserve">the process </w:t>
      </w:r>
      <w:r w:rsidR="0094589A" w:rsidRPr="001B7C9E">
        <w:rPr>
          <w:lang w:val="en-GB"/>
        </w:rPr>
        <w:t>ha</w:t>
      </w:r>
      <w:r w:rsidR="0094589A">
        <w:rPr>
          <w:lang w:val="en-GB"/>
        </w:rPr>
        <w:t>s</w:t>
      </w:r>
      <w:r w:rsidR="0094589A" w:rsidRPr="001B7C9E">
        <w:rPr>
          <w:lang w:val="en-GB"/>
        </w:rPr>
        <w:t xml:space="preserve"> </w:t>
      </w:r>
      <w:r w:rsidR="008A3D1E" w:rsidRPr="001B7C9E">
        <w:rPr>
          <w:lang w:val="en-GB"/>
        </w:rPr>
        <w:t xml:space="preserve">been carried out in </w:t>
      </w:r>
      <w:r w:rsidR="0094589A">
        <w:rPr>
          <w:lang w:val="en-GB"/>
        </w:rPr>
        <w:t xml:space="preserve">a </w:t>
      </w:r>
      <w:r w:rsidR="008A3D1E" w:rsidRPr="001B7C9E">
        <w:rPr>
          <w:lang w:val="en-GB"/>
        </w:rPr>
        <w:t>nickel-chromium-molybdenum alloy (Hastelloy C-276) reactor (</w:t>
      </w:r>
      <w:r w:rsidR="0044270E" w:rsidRPr="001B7C9E">
        <w:rPr>
          <w:lang w:val="en-GB"/>
        </w:rPr>
        <w:t>Figure 1</w:t>
      </w:r>
      <w:r w:rsidR="008A3D1E" w:rsidRPr="001B7C9E">
        <w:rPr>
          <w:lang w:val="en-GB"/>
        </w:rPr>
        <w:t xml:space="preserve">). </w:t>
      </w:r>
      <w:r w:rsidR="0044270E" w:rsidRPr="001B7C9E">
        <w:rPr>
          <w:lang w:val="en-GB"/>
        </w:rPr>
        <w:t xml:space="preserve">It consists of a 500 mL batch reactor (Parr Instruments, series PA 4575A) </w:t>
      </w:r>
      <w:r w:rsidR="008A3D1E" w:rsidRPr="001B7C9E">
        <w:rPr>
          <w:lang w:val="en-GB"/>
        </w:rPr>
        <w:t>designed to</w:t>
      </w:r>
      <w:r w:rsidR="00882C9B">
        <w:rPr>
          <w:lang w:val="en-GB"/>
        </w:rPr>
        <w:t xml:space="preserve"> operate at</w:t>
      </w:r>
      <w:r w:rsidR="008A3D1E" w:rsidRPr="001B7C9E">
        <w:rPr>
          <w:lang w:val="en-GB"/>
        </w:rPr>
        <w:t xml:space="preserve"> a maximum pressure and temperature of 345 bar and 500</w:t>
      </w:r>
      <w:r w:rsidR="0094589A">
        <w:rPr>
          <w:lang w:val="en-GB"/>
        </w:rPr>
        <w:t xml:space="preserve"> </w:t>
      </w:r>
      <w:r w:rsidR="008A3D1E" w:rsidRPr="001B7C9E">
        <w:rPr>
          <w:lang w:val="en-GB"/>
        </w:rPr>
        <w:t>°C</w:t>
      </w:r>
      <w:r w:rsidR="00C34260">
        <w:rPr>
          <w:lang w:val="en-GB"/>
        </w:rPr>
        <w:t>, respectively</w:t>
      </w:r>
      <w:r w:rsidR="008A3D1E" w:rsidRPr="001B7C9E">
        <w:rPr>
          <w:lang w:val="en-GB"/>
        </w:rPr>
        <w:t xml:space="preserve">. The reactor is </w:t>
      </w:r>
      <w:r w:rsidR="0044270E" w:rsidRPr="001B7C9E">
        <w:rPr>
          <w:lang w:val="en-GB"/>
        </w:rPr>
        <w:t xml:space="preserve">equipped with: </w:t>
      </w:r>
      <w:proofErr w:type="spellStart"/>
      <w:r w:rsidR="0044270E" w:rsidRPr="001B7C9E">
        <w:rPr>
          <w:lang w:val="en-GB"/>
        </w:rPr>
        <w:t>i</w:t>
      </w:r>
      <w:proofErr w:type="spellEnd"/>
      <w:r w:rsidR="0044270E" w:rsidRPr="001B7C9E">
        <w:rPr>
          <w:lang w:val="en-GB"/>
        </w:rPr>
        <w:t xml:space="preserve">) digital pressure transducer coupled with a needle valve for pressure measurement and control; ii) tubular electric heater coupled with thermocouples and PID system for temperature setting, measurement and heating rate control; iii) magnetic stirrer with maximum torque of 1.76 Nm and variable speed motor 1/8 hp, suitable for matrices with high viscosity as sludge (102–104 </w:t>
      </w:r>
      <w:proofErr w:type="spellStart"/>
      <w:r w:rsidR="0044270E" w:rsidRPr="001B7C9E">
        <w:rPr>
          <w:lang w:val="en-GB"/>
        </w:rPr>
        <w:t>cP</w:t>
      </w:r>
      <w:proofErr w:type="spellEnd"/>
      <w:r w:rsidR="0044270E" w:rsidRPr="001B7C9E">
        <w:rPr>
          <w:lang w:val="en-GB"/>
        </w:rPr>
        <w:t>); iv) single loop cooling coil; v) inlet and outlet ports for gas injection and liquid/gas withdrawal; vi) gas sampling cylinder.</w:t>
      </w:r>
    </w:p>
    <w:p w14:paraId="545D0E9E" w14:textId="573A1CAD" w:rsidR="007B5E1B" w:rsidRDefault="00835C10" w:rsidP="001A58EF">
      <w:pPr>
        <w:pStyle w:val="CETBodytext"/>
        <w:spacing w:after="120"/>
        <w:rPr>
          <w:lang w:val="en-GB"/>
        </w:rPr>
      </w:pPr>
      <w:r w:rsidRPr="001B7C9E">
        <w:rPr>
          <w:lang w:val="en-GB"/>
        </w:rPr>
        <w:t>To</w:t>
      </w:r>
      <w:r w:rsidR="00454C64" w:rsidRPr="001B7C9E">
        <w:rPr>
          <w:lang w:val="en-GB"/>
        </w:rPr>
        <w:t xml:space="preserve"> limit to the formation of undesirable products</w:t>
      </w:r>
      <w:r w:rsidR="00C34260">
        <w:rPr>
          <w:lang w:val="en-GB"/>
        </w:rPr>
        <w:t xml:space="preserve"> along the HTL process,</w:t>
      </w:r>
      <w:r w:rsidR="00454C64" w:rsidRPr="001B7C9E">
        <w:rPr>
          <w:lang w:val="en-GB"/>
        </w:rPr>
        <w:t xml:space="preserve"> </w:t>
      </w:r>
      <w:r w:rsidR="00BF77A8" w:rsidRPr="001B7C9E">
        <w:rPr>
          <w:lang w:val="en-GB"/>
        </w:rPr>
        <w:t>preliminary activities included the setup of the test facility in terms of pressurisation testing and water heating/cooling cycles</w:t>
      </w:r>
      <w:r w:rsidR="004E0CD0">
        <w:rPr>
          <w:lang w:val="en-GB"/>
        </w:rPr>
        <w:t>.</w:t>
      </w:r>
      <w:r w:rsidR="00BF77A8" w:rsidRPr="001B7C9E">
        <w:rPr>
          <w:lang w:val="en-GB"/>
        </w:rPr>
        <w:t xml:space="preserve"> For this purpose, two configurations of the reactor were </w:t>
      </w:r>
      <w:r w:rsidR="00C34260">
        <w:rPr>
          <w:lang w:val="en-GB"/>
        </w:rPr>
        <w:t>investigated:</w:t>
      </w:r>
      <w:r w:rsidR="00BF77A8" w:rsidRPr="001B7C9E">
        <w:rPr>
          <w:lang w:val="en-GB"/>
        </w:rPr>
        <w:t xml:space="preserve"> </w:t>
      </w:r>
      <w:r w:rsidR="00C34260">
        <w:rPr>
          <w:lang w:val="en-GB"/>
        </w:rPr>
        <w:t>a</w:t>
      </w:r>
      <w:r w:rsidR="00BF77A8" w:rsidRPr="001B7C9E">
        <w:rPr>
          <w:lang w:val="en-GB"/>
        </w:rPr>
        <w:t xml:space="preserve"> "base system" where the heating of water was carried out only with the electric heater, and </w:t>
      </w:r>
      <w:r w:rsidR="00C34260">
        <w:rPr>
          <w:lang w:val="en-GB"/>
        </w:rPr>
        <w:t>an</w:t>
      </w:r>
      <w:r w:rsidR="00BF77A8" w:rsidRPr="001B7C9E">
        <w:rPr>
          <w:lang w:val="en-GB"/>
        </w:rPr>
        <w:t xml:space="preserve"> "upgraded system"</w:t>
      </w:r>
      <w:r w:rsidR="00C34260">
        <w:rPr>
          <w:lang w:val="en-GB"/>
        </w:rPr>
        <w:t xml:space="preserve"> configuration</w:t>
      </w:r>
      <w:r w:rsidR="00BF77A8" w:rsidRPr="001B7C9E">
        <w:rPr>
          <w:lang w:val="en-GB"/>
        </w:rPr>
        <w:t xml:space="preserve"> where the heating has been carried out also </w:t>
      </w:r>
      <w:r w:rsidR="00BF77A8" w:rsidRPr="001B7C9E">
        <w:rPr>
          <w:lang w:val="en-GB"/>
        </w:rPr>
        <w:lastRenderedPageBreak/>
        <w:t>with the support of a heating plate located on the bottom of the vessel</w:t>
      </w:r>
      <w:r w:rsidR="00216CF4">
        <w:rPr>
          <w:lang w:val="en-GB"/>
        </w:rPr>
        <w:t>,</w:t>
      </w:r>
      <w:r w:rsidR="00BF77A8" w:rsidRPr="001B7C9E">
        <w:rPr>
          <w:lang w:val="en-GB"/>
        </w:rPr>
        <w:t xml:space="preserve"> and by thermally insulating the top of the reactor with a layer of rock wool. </w:t>
      </w:r>
      <w:r w:rsidR="004E0CD0">
        <w:rPr>
          <w:lang w:val="en-GB"/>
        </w:rPr>
        <w:t>For the heating/cooling test, the reactor was loaded with 300 mL of distilled water and pressurised at 30 bar. Then</w:t>
      </w:r>
      <w:r w:rsidR="00216CF4">
        <w:rPr>
          <w:lang w:val="en-GB"/>
        </w:rPr>
        <w:t>,</w:t>
      </w:r>
      <w:r w:rsidR="004E0CD0">
        <w:rPr>
          <w:lang w:val="en-GB"/>
        </w:rPr>
        <w:t xml:space="preserve"> it was heated to the temperature of 340 °C through tubular electric heater </w:t>
      </w:r>
      <w:r w:rsidR="007B5E1B">
        <w:rPr>
          <w:lang w:val="en-GB"/>
        </w:rPr>
        <w:t>and</w:t>
      </w:r>
      <w:r w:rsidR="007B5E1B" w:rsidRPr="007B5E1B">
        <w:rPr>
          <w:lang w:val="en-GB"/>
        </w:rPr>
        <w:t xml:space="preserve"> the evolution of temperature and pressure </w:t>
      </w:r>
      <w:r w:rsidR="00216CF4" w:rsidRPr="007B5E1B">
        <w:rPr>
          <w:lang w:val="en-GB"/>
        </w:rPr>
        <w:t>w</w:t>
      </w:r>
      <w:r w:rsidR="00216CF4">
        <w:rPr>
          <w:lang w:val="en-GB"/>
        </w:rPr>
        <w:t>as</w:t>
      </w:r>
      <w:r w:rsidR="00216CF4" w:rsidRPr="007B5E1B">
        <w:rPr>
          <w:lang w:val="en-GB"/>
        </w:rPr>
        <w:t xml:space="preserve"> </w:t>
      </w:r>
      <w:r w:rsidR="007B5E1B" w:rsidRPr="007B5E1B">
        <w:rPr>
          <w:lang w:val="en-GB"/>
        </w:rPr>
        <w:t>monitored over time</w:t>
      </w:r>
      <w:r w:rsidR="007B5E1B">
        <w:rPr>
          <w:lang w:val="en-GB"/>
        </w:rPr>
        <w:t>.</w:t>
      </w:r>
    </w:p>
    <w:p w14:paraId="6F2450DE" w14:textId="13D67B42" w:rsidR="0044270E" w:rsidRPr="001B7C9E" w:rsidRDefault="0044270E" w:rsidP="00AE0A6F">
      <w:pPr>
        <w:pStyle w:val="CETBodytext"/>
        <w:rPr>
          <w:lang w:val="en-GB"/>
        </w:rPr>
      </w:pPr>
      <w:r w:rsidRPr="001B7C9E">
        <w:rPr>
          <w:noProof/>
        </w:rPr>
        <w:drawing>
          <wp:inline distT="0" distB="0" distL="0" distR="0" wp14:anchorId="5A49A632" wp14:editId="78715BB3">
            <wp:extent cx="2400135" cy="226800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35" cy="22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7C9E">
        <w:rPr>
          <w:lang w:val="en-GB"/>
        </w:rPr>
        <w:t xml:space="preserve"> </w:t>
      </w:r>
      <w:r w:rsidR="00D14913">
        <w:rPr>
          <w:lang w:val="en-GB"/>
        </w:rPr>
        <w:t xml:space="preserve">  </w:t>
      </w:r>
      <w:r w:rsidRPr="001B7C9E">
        <w:rPr>
          <w:noProof/>
        </w:rPr>
        <w:drawing>
          <wp:inline distT="0" distB="0" distL="0" distR="0" wp14:anchorId="2D14D714" wp14:editId="7C20B4ED">
            <wp:extent cx="2988525" cy="2160000"/>
            <wp:effectExtent l="0" t="0" r="254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25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95E2D" w14:textId="7861E3C0" w:rsidR="00AE0A6F" w:rsidRPr="001B7C9E" w:rsidRDefault="008A3D1E" w:rsidP="001A58EF">
      <w:pPr>
        <w:pStyle w:val="CETBodytext"/>
        <w:spacing w:after="120"/>
        <w:rPr>
          <w:lang w:val="en-GB"/>
        </w:rPr>
      </w:pPr>
      <w:r w:rsidRPr="001B7C9E">
        <w:rPr>
          <w:i/>
          <w:lang w:val="en-GB"/>
        </w:rPr>
        <w:t>Figure 1</w:t>
      </w:r>
      <w:r w:rsidR="0044270E" w:rsidRPr="001B7C9E">
        <w:rPr>
          <w:i/>
          <w:lang w:val="en-GB"/>
        </w:rPr>
        <w:t>: Batch autoclave reactor of 500 mL</w:t>
      </w:r>
      <w:r w:rsidR="008C4A09">
        <w:rPr>
          <w:i/>
          <w:lang w:val="en-GB"/>
        </w:rPr>
        <w:t>;</w:t>
      </w:r>
      <w:r w:rsidR="008C4A09" w:rsidRPr="001B7C9E">
        <w:rPr>
          <w:i/>
          <w:lang w:val="en-GB"/>
        </w:rPr>
        <w:t xml:space="preserve"> </w:t>
      </w:r>
      <w:r w:rsidR="0044270E" w:rsidRPr="001B7C9E">
        <w:rPr>
          <w:i/>
          <w:lang w:val="en-GB"/>
        </w:rPr>
        <w:t>picture (on the left) and layout (on the right) of the lab-scale apparatus.</w:t>
      </w:r>
    </w:p>
    <w:p w14:paraId="0337C659" w14:textId="05F92F46" w:rsidR="00067BB4" w:rsidRDefault="004F30D3" w:rsidP="009A07C4">
      <w:r w:rsidRPr="001B7C9E">
        <w:t>For the HTL test</w:t>
      </w:r>
      <w:r w:rsidR="00180F04">
        <w:t>,</w:t>
      </w:r>
      <w:r w:rsidRPr="001B7C9E">
        <w:t xml:space="preserve"> the reactor was loaded with 30 g (dry basis) of a municipal sludge </w:t>
      </w:r>
      <w:r w:rsidR="00180F04">
        <w:t xml:space="preserve">together </w:t>
      </w:r>
      <w:r w:rsidRPr="001B7C9E">
        <w:t xml:space="preserve">with 270 mL of distilled water </w:t>
      </w:r>
      <w:r w:rsidR="00180F04">
        <w:t xml:space="preserve">so </w:t>
      </w:r>
      <w:r w:rsidRPr="001B7C9E">
        <w:t xml:space="preserve">to obtain a </w:t>
      </w:r>
      <w:r w:rsidR="00180F04">
        <w:t>slurry</w:t>
      </w:r>
      <w:r w:rsidR="00180F04" w:rsidRPr="001B7C9E">
        <w:t xml:space="preserve"> </w:t>
      </w:r>
      <w:r w:rsidRPr="001B7C9E">
        <w:t>with a 10%</w:t>
      </w:r>
      <w:r w:rsidR="00180F04" w:rsidRPr="00F658ED">
        <w:rPr>
          <w:vertAlign w:val="subscript"/>
        </w:rPr>
        <w:t>wt</w:t>
      </w:r>
      <w:r w:rsidRPr="001B7C9E">
        <w:t xml:space="preserve"> solid content, </w:t>
      </w:r>
      <w:r w:rsidR="00180F04">
        <w:t xml:space="preserve">to reproduce the </w:t>
      </w:r>
      <w:r w:rsidRPr="001B7C9E">
        <w:t>typical sewage sludge</w:t>
      </w:r>
      <w:r w:rsidR="00180F04">
        <w:t xml:space="preserve"> concentration</w:t>
      </w:r>
      <w:r w:rsidRPr="001B7C9E">
        <w:t xml:space="preserve"> </w:t>
      </w:r>
      <w:r w:rsidR="00180F04">
        <w:t xml:space="preserve">value </w:t>
      </w:r>
      <w:r w:rsidRPr="001B7C9E">
        <w:t>obtained downstream of wastewater treatment plants. Then</w:t>
      </w:r>
      <w:r w:rsidR="00173380">
        <w:t>,</w:t>
      </w:r>
      <w:r w:rsidRPr="001B7C9E">
        <w:t xml:space="preserve"> the reactor was purged four times with nitrogen at 5 </w:t>
      </w:r>
      <w:proofErr w:type="gramStart"/>
      <w:r w:rsidRPr="001B7C9E">
        <w:t>bar</w:t>
      </w:r>
      <w:proofErr w:type="gramEnd"/>
      <w:r w:rsidRPr="001B7C9E">
        <w:t xml:space="preserve"> to remove the oxygen present in the vessel. </w:t>
      </w:r>
    </w:p>
    <w:p w14:paraId="7FB1B13B" w14:textId="5095CAD7" w:rsidR="004F30D3" w:rsidRPr="001B7C9E" w:rsidRDefault="00180F04" w:rsidP="001A58EF">
      <w:pPr>
        <w:spacing w:after="120"/>
      </w:pPr>
      <w:r>
        <w:t>T</w:t>
      </w:r>
      <w:r w:rsidR="004F30D3" w:rsidRPr="001B7C9E">
        <w:t>he following stages</w:t>
      </w:r>
      <w:r>
        <w:t xml:space="preserve"> are thereafter performed</w:t>
      </w:r>
      <w:r w:rsidR="004F30D3" w:rsidRPr="001B7C9E">
        <w:t>: a) first pressurization stage with N</w:t>
      </w:r>
      <w:r w:rsidR="004F30D3" w:rsidRPr="001B7C9E">
        <w:rPr>
          <w:vertAlign w:val="subscript"/>
        </w:rPr>
        <w:t>2</w:t>
      </w:r>
      <w:r w:rsidR="004F30D3" w:rsidRPr="001B7C9E">
        <w:t xml:space="preserve"> fed by a gas cylinder at 30 bar; b) second pressurization stage at 200 bar by rapid heating of the system to the desired temperature level; c) running the HTL test at fixed time/temperature level (</w:t>
      </w:r>
      <w:r w:rsidR="00E04207">
        <w:t xml:space="preserve">tested temperatures </w:t>
      </w:r>
      <w:r w:rsidR="004F30D3" w:rsidRPr="001B7C9E">
        <w:t>3</w:t>
      </w:r>
      <w:r w:rsidR="00E04207">
        <w:t>0</w:t>
      </w:r>
      <w:r w:rsidR="004F30D3" w:rsidRPr="001B7C9E">
        <w:t>0</w:t>
      </w:r>
      <w:r w:rsidR="00E04207">
        <w:t xml:space="preserve"> and 350</w:t>
      </w:r>
      <w:r w:rsidR="004F30D3" w:rsidRPr="001B7C9E">
        <w:t xml:space="preserve"> °C – </w:t>
      </w:r>
      <w:r w:rsidR="009B7CE4">
        <w:t>20</w:t>
      </w:r>
      <w:r w:rsidR="004F30D3" w:rsidRPr="001B7C9E">
        <w:t xml:space="preserve"> min</w:t>
      </w:r>
      <w:r>
        <w:t xml:space="preserve"> of isothermal stage</w:t>
      </w:r>
      <w:r w:rsidR="004F30D3" w:rsidRPr="001B7C9E">
        <w:t>); d) fast cooling of the reactor so to "freeze" chemical reactions, thus avoiding products re-distribution during thermal transients; e) depressurization of the reactor and sampling of the gas obtained from the HTL process. At the end of the test, liquid</w:t>
      </w:r>
      <w:r w:rsidR="00173380" w:rsidRPr="001B7C9E">
        <w:t>–</w:t>
      </w:r>
      <w:r w:rsidR="004F30D3" w:rsidRPr="001B7C9E">
        <w:t xml:space="preserve">solid phases separation </w:t>
      </w:r>
      <w:r>
        <w:t>was</w:t>
      </w:r>
      <w:r w:rsidR="004F30D3" w:rsidRPr="001B7C9E">
        <w:t xml:space="preserve"> performed by coupling filtration,</w:t>
      </w:r>
      <w:r w:rsidR="009B7CE4">
        <w:t xml:space="preserve"> Soxhlet and</w:t>
      </w:r>
      <w:r w:rsidR="004F30D3" w:rsidRPr="001B7C9E">
        <w:t xml:space="preserve"> liquid–liquid extraction with dichloromethane </w:t>
      </w:r>
      <w:r w:rsidR="00701598" w:rsidRPr="001B7C9E">
        <w:t xml:space="preserve">(DCM) </w:t>
      </w:r>
      <w:r w:rsidR="004F30D3" w:rsidRPr="001B7C9E">
        <w:t>and distillation.</w:t>
      </w:r>
    </w:p>
    <w:p w14:paraId="325765B8" w14:textId="64925FA2" w:rsidR="004F30D3" w:rsidRPr="001B4421" w:rsidRDefault="009A07C4" w:rsidP="001B4421">
      <w:pPr>
        <w:spacing w:before="120" w:after="120" w:line="240" w:lineRule="auto"/>
        <w:rPr>
          <w:b/>
          <w:bCs/>
        </w:rPr>
      </w:pPr>
      <w:r w:rsidRPr="001B4421">
        <w:rPr>
          <w:b/>
          <w:bCs/>
        </w:rPr>
        <w:t xml:space="preserve">2.3 </w:t>
      </w:r>
      <w:r w:rsidR="00446FBF" w:rsidRPr="001B4421">
        <w:rPr>
          <w:b/>
          <w:bCs/>
        </w:rPr>
        <w:t>Products s</w:t>
      </w:r>
      <w:r w:rsidR="00701598" w:rsidRPr="001B4421">
        <w:rPr>
          <w:b/>
          <w:bCs/>
        </w:rPr>
        <w:t>eparation procedure</w:t>
      </w:r>
      <w:r w:rsidR="00446FBF" w:rsidRPr="001B4421">
        <w:rPr>
          <w:b/>
          <w:bCs/>
        </w:rPr>
        <w:t>s</w:t>
      </w:r>
    </w:p>
    <w:p w14:paraId="0E7E70A6" w14:textId="1D936C61" w:rsidR="00422D05" w:rsidRPr="009D1FC7" w:rsidRDefault="00B11E65" w:rsidP="001A58EF">
      <w:pPr>
        <w:pStyle w:val="CETBodytext"/>
        <w:spacing w:after="120"/>
        <w:rPr>
          <w:lang w:val="en-GB"/>
        </w:rPr>
      </w:pPr>
      <w:r w:rsidRPr="001B7C9E">
        <w:rPr>
          <w:lang w:val="en-GB"/>
        </w:rPr>
        <w:t>Figure 2 depict</w:t>
      </w:r>
      <w:r w:rsidR="000766F6">
        <w:rPr>
          <w:lang w:val="en-GB"/>
        </w:rPr>
        <w:t>s</w:t>
      </w:r>
      <w:r w:rsidRPr="001B7C9E">
        <w:rPr>
          <w:lang w:val="en-GB"/>
        </w:rPr>
        <w:t xml:space="preserve"> the scheme</w:t>
      </w:r>
      <w:r w:rsidR="000766F6">
        <w:rPr>
          <w:lang w:val="en-GB"/>
        </w:rPr>
        <w:t xml:space="preserve"> adopted for</w:t>
      </w:r>
      <w:r w:rsidRPr="001B7C9E">
        <w:rPr>
          <w:lang w:val="en-GB"/>
        </w:rPr>
        <w:t xml:space="preserve"> the separation and extraction of </w:t>
      </w:r>
      <w:r w:rsidR="000766F6">
        <w:rPr>
          <w:lang w:val="en-GB"/>
        </w:rPr>
        <w:t xml:space="preserve">the </w:t>
      </w:r>
      <w:r w:rsidRPr="001B7C9E">
        <w:rPr>
          <w:lang w:val="en-GB"/>
        </w:rPr>
        <w:t>hydrothermal liquefaction product</w:t>
      </w:r>
      <w:r w:rsidR="00701598" w:rsidRPr="001B7C9E">
        <w:rPr>
          <w:lang w:val="en-GB"/>
        </w:rPr>
        <w:t>s</w:t>
      </w:r>
      <w:r w:rsidRPr="001B7C9E">
        <w:rPr>
          <w:lang w:val="en-GB"/>
        </w:rPr>
        <w:t xml:space="preserve">. </w:t>
      </w:r>
      <w:r w:rsidR="000D2229" w:rsidRPr="001B7C9E">
        <w:rPr>
          <w:lang w:val="en-GB"/>
        </w:rPr>
        <w:t xml:space="preserve">After </w:t>
      </w:r>
      <w:r w:rsidR="00523F99" w:rsidRPr="001B7C9E">
        <w:rPr>
          <w:lang w:val="en-GB"/>
        </w:rPr>
        <w:t>the HTL test</w:t>
      </w:r>
      <w:r w:rsidR="00173380">
        <w:rPr>
          <w:lang w:val="en-GB"/>
        </w:rPr>
        <w:t>,</w:t>
      </w:r>
      <w:r w:rsidR="00523F99" w:rsidRPr="001B7C9E">
        <w:rPr>
          <w:lang w:val="en-GB"/>
        </w:rPr>
        <w:t xml:space="preserve"> the gas</w:t>
      </w:r>
      <w:r w:rsidR="00FB566A">
        <w:rPr>
          <w:lang w:val="en-GB"/>
        </w:rPr>
        <w:t xml:space="preserve"> </w:t>
      </w:r>
      <w:r w:rsidR="002B1160">
        <w:rPr>
          <w:lang w:val="en-GB"/>
        </w:rPr>
        <w:t xml:space="preserve">phase </w:t>
      </w:r>
      <w:r w:rsidR="002B1160" w:rsidRPr="001B7C9E">
        <w:rPr>
          <w:lang w:val="en-GB"/>
        </w:rPr>
        <w:t>was</w:t>
      </w:r>
      <w:r w:rsidR="00FB566A">
        <w:rPr>
          <w:lang w:val="en-GB"/>
        </w:rPr>
        <w:t xml:space="preserve"> vented</w:t>
      </w:r>
      <w:r w:rsidR="000D2229" w:rsidRPr="001B7C9E">
        <w:rPr>
          <w:lang w:val="en-GB"/>
        </w:rPr>
        <w:t xml:space="preserve"> </w:t>
      </w:r>
      <w:r w:rsidR="00FB566A">
        <w:rPr>
          <w:lang w:val="en-GB"/>
        </w:rPr>
        <w:t>to</w:t>
      </w:r>
      <w:r w:rsidR="00FB566A" w:rsidRPr="001B7C9E">
        <w:rPr>
          <w:lang w:val="en-GB"/>
        </w:rPr>
        <w:t xml:space="preserve"> </w:t>
      </w:r>
      <w:r w:rsidR="000D2229" w:rsidRPr="001B7C9E">
        <w:rPr>
          <w:lang w:val="en-GB"/>
        </w:rPr>
        <w:t xml:space="preserve">the atmosphere via a </w:t>
      </w:r>
      <w:r w:rsidR="004C716E" w:rsidRPr="001B7C9E">
        <w:rPr>
          <w:lang w:val="en-GB"/>
        </w:rPr>
        <w:t xml:space="preserve">needle </w:t>
      </w:r>
      <w:r w:rsidR="000D2229" w:rsidRPr="001B7C9E">
        <w:rPr>
          <w:lang w:val="en-GB"/>
        </w:rPr>
        <w:t>valve</w:t>
      </w:r>
      <w:r w:rsidR="004C716E" w:rsidRPr="001B7C9E">
        <w:rPr>
          <w:lang w:val="en-GB"/>
        </w:rPr>
        <w:t xml:space="preserve"> to </w:t>
      </w:r>
      <w:r w:rsidR="00FB566A">
        <w:rPr>
          <w:lang w:val="en-GB"/>
        </w:rPr>
        <w:t>restore ambient pressure and allowing reactor discharge</w:t>
      </w:r>
      <w:r w:rsidR="000D2229" w:rsidRPr="001B7C9E">
        <w:rPr>
          <w:lang w:val="en-GB"/>
        </w:rPr>
        <w:t>.</w:t>
      </w:r>
      <w:r w:rsidR="004C716E" w:rsidRPr="001B7C9E">
        <w:rPr>
          <w:lang w:val="en-GB"/>
        </w:rPr>
        <w:t xml:space="preserve"> </w:t>
      </w:r>
      <w:r w:rsidR="00701598" w:rsidRPr="001B7C9E">
        <w:rPr>
          <w:lang w:val="en-GB"/>
        </w:rPr>
        <w:t xml:space="preserve">To </w:t>
      </w:r>
      <w:r w:rsidR="00173380" w:rsidRPr="001B7C9E">
        <w:rPr>
          <w:lang w:val="en-GB"/>
        </w:rPr>
        <w:t>minimi</w:t>
      </w:r>
      <w:r w:rsidR="00173380">
        <w:rPr>
          <w:lang w:val="en-GB"/>
        </w:rPr>
        <w:t>s</w:t>
      </w:r>
      <w:r w:rsidR="00173380" w:rsidRPr="001B7C9E">
        <w:rPr>
          <w:lang w:val="en-GB"/>
        </w:rPr>
        <w:t xml:space="preserve">e </w:t>
      </w:r>
      <w:r w:rsidR="00701598" w:rsidRPr="001B7C9E">
        <w:rPr>
          <w:lang w:val="en-GB"/>
        </w:rPr>
        <w:t>the use of solvents</w:t>
      </w:r>
      <w:r w:rsidR="00C46461">
        <w:rPr>
          <w:lang w:val="en-GB"/>
        </w:rPr>
        <w:t xml:space="preserve"> for environmental purposes,</w:t>
      </w:r>
      <w:r w:rsidR="00701598" w:rsidRPr="001B7C9E">
        <w:rPr>
          <w:lang w:val="en-GB"/>
        </w:rPr>
        <w:t xml:space="preserve"> most o</w:t>
      </w:r>
      <w:r w:rsidR="00523F99" w:rsidRPr="001B7C9E">
        <w:rPr>
          <w:lang w:val="en-GB"/>
        </w:rPr>
        <w:t>f the liquid and solid phase</w:t>
      </w:r>
      <w:r w:rsidR="00C46461">
        <w:rPr>
          <w:lang w:val="en-GB"/>
        </w:rPr>
        <w:t>s</w:t>
      </w:r>
      <w:r w:rsidR="00523F99" w:rsidRPr="001B7C9E">
        <w:rPr>
          <w:lang w:val="en-GB"/>
        </w:rPr>
        <w:t xml:space="preserve"> </w:t>
      </w:r>
      <w:r w:rsidR="00C46461" w:rsidRPr="001B7C9E">
        <w:rPr>
          <w:lang w:val="en-GB"/>
        </w:rPr>
        <w:t>w</w:t>
      </w:r>
      <w:r w:rsidR="00C46461">
        <w:rPr>
          <w:lang w:val="en-GB"/>
        </w:rPr>
        <w:t>ere</w:t>
      </w:r>
      <w:r w:rsidR="00C46461" w:rsidRPr="001B7C9E">
        <w:rPr>
          <w:lang w:val="en-GB"/>
        </w:rPr>
        <w:t xml:space="preserve"> </w:t>
      </w:r>
      <w:r w:rsidR="00701598" w:rsidRPr="001B7C9E">
        <w:rPr>
          <w:lang w:val="en-GB"/>
        </w:rPr>
        <w:t>recovered from the vessel</w:t>
      </w:r>
      <w:r w:rsidR="00C46461">
        <w:rPr>
          <w:lang w:val="en-GB"/>
        </w:rPr>
        <w:t xml:space="preserve"> </w:t>
      </w:r>
      <w:r w:rsidR="00C46461" w:rsidRPr="001B7C9E">
        <w:rPr>
          <w:lang w:val="en-GB"/>
        </w:rPr>
        <w:t>with a spatula</w:t>
      </w:r>
      <w:r w:rsidR="00701598" w:rsidRPr="001B7C9E">
        <w:rPr>
          <w:lang w:val="en-GB"/>
        </w:rPr>
        <w:t>.</w:t>
      </w:r>
      <w:r w:rsidR="00523F99" w:rsidRPr="001B7C9E">
        <w:rPr>
          <w:lang w:val="en-GB"/>
        </w:rPr>
        <w:t xml:space="preserve"> Then</w:t>
      </w:r>
      <w:r w:rsidR="00173380">
        <w:rPr>
          <w:lang w:val="en-GB"/>
        </w:rPr>
        <w:t>,</w:t>
      </w:r>
      <w:r w:rsidR="00523F99" w:rsidRPr="001B7C9E">
        <w:rPr>
          <w:lang w:val="en-GB"/>
        </w:rPr>
        <w:t xml:space="preserve"> 28 g of DCM was</w:t>
      </w:r>
      <w:r w:rsidR="00701598" w:rsidRPr="001B7C9E">
        <w:rPr>
          <w:lang w:val="en-GB"/>
        </w:rPr>
        <w:t xml:space="preserve"> used to wash the wall of </w:t>
      </w:r>
      <w:r w:rsidR="00173380">
        <w:rPr>
          <w:lang w:val="en-GB"/>
        </w:rPr>
        <w:t xml:space="preserve">the </w:t>
      </w:r>
      <w:r w:rsidR="00701598" w:rsidRPr="001B7C9E">
        <w:rPr>
          <w:lang w:val="en-GB"/>
        </w:rPr>
        <w:t>reactor to maximise the produ</w:t>
      </w:r>
      <w:r w:rsidR="000D2229" w:rsidRPr="001B7C9E">
        <w:rPr>
          <w:lang w:val="en-GB"/>
        </w:rPr>
        <w:t>cts recovery.</w:t>
      </w:r>
      <w:r w:rsidR="004C716E" w:rsidRPr="001B7C9E">
        <w:rPr>
          <w:lang w:val="en-GB"/>
        </w:rPr>
        <w:t xml:space="preserve"> </w:t>
      </w:r>
      <w:r w:rsidR="00523F99" w:rsidRPr="001B7C9E">
        <w:rPr>
          <w:lang w:val="en-GB"/>
        </w:rPr>
        <w:t xml:space="preserve">Subsequently, </w:t>
      </w:r>
      <w:r w:rsidR="00C46461">
        <w:rPr>
          <w:lang w:val="en-GB"/>
        </w:rPr>
        <w:t>the recovered slurry</w:t>
      </w:r>
      <w:r w:rsidR="00523F99" w:rsidRPr="001B7C9E">
        <w:rPr>
          <w:lang w:val="en-GB"/>
        </w:rPr>
        <w:t xml:space="preserve"> was</w:t>
      </w:r>
      <w:r w:rsidR="004C716E" w:rsidRPr="001B7C9E">
        <w:rPr>
          <w:lang w:val="en-GB"/>
        </w:rPr>
        <w:t xml:space="preserve"> filt</w:t>
      </w:r>
      <w:r w:rsidR="00C46461">
        <w:rPr>
          <w:lang w:val="en-GB"/>
        </w:rPr>
        <w:t xml:space="preserve">ered on a </w:t>
      </w:r>
      <w:r w:rsidR="00173380">
        <w:rPr>
          <w:lang w:val="en-GB"/>
        </w:rPr>
        <w:t>Büchner</w:t>
      </w:r>
      <w:r w:rsidR="00C46461">
        <w:rPr>
          <w:lang w:val="en-GB"/>
        </w:rPr>
        <w:t xml:space="preserve"> under vacuum,</w:t>
      </w:r>
      <w:r w:rsidR="00523F99" w:rsidRPr="001B7C9E">
        <w:rPr>
          <w:lang w:val="en-GB"/>
        </w:rPr>
        <w:t xml:space="preserve"> and </w:t>
      </w:r>
      <w:r w:rsidR="009B7CE4">
        <w:rPr>
          <w:lang w:val="en-GB"/>
        </w:rPr>
        <w:t>3</w:t>
      </w:r>
      <w:r w:rsidR="00523F99" w:rsidRPr="001B7C9E">
        <w:rPr>
          <w:lang w:val="en-GB"/>
        </w:rPr>
        <w:t xml:space="preserve">0 g of DCM </w:t>
      </w:r>
      <w:r w:rsidR="00173380" w:rsidRPr="001B7C9E">
        <w:rPr>
          <w:lang w:val="en-GB"/>
        </w:rPr>
        <w:t>w</w:t>
      </w:r>
      <w:r w:rsidR="00173380">
        <w:rPr>
          <w:lang w:val="en-GB"/>
        </w:rPr>
        <w:t>ere</w:t>
      </w:r>
      <w:r w:rsidR="00173380" w:rsidRPr="001B7C9E">
        <w:rPr>
          <w:lang w:val="en-GB"/>
        </w:rPr>
        <w:t xml:space="preserve"> </w:t>
      </w:r>
      <w:r w:rsidR="00523F99" w:rsidRPr="001B7C9E">
        <w:rPr>
          <w:lang w:val="en-GB"/>
        </w:rPr>
        <w:t>used to wash the solid residue. After filtration, the solid phase was</w:t>
      </w:r>
      <w:r w:rsidR="009B7CE4" w:rsidRPr="009B7CE4">
        <w:rPr>
          <w:lang w:val="en-GB"/>
        </w:rPr>
        <w:t xml:space="preserve"> subjected to a Soxhlet extraction with DCM to recover the bio-oil from the solid pores</w:t>
      </w:r>
      <w:r w:rsidR="009B7CE4">
        <w:rPr>
          <w:lang w:val="en-GB"/>
        </w:rPr>
        <w:t xml:space="preserve"> and then</w:t>
      </w:r>
      <w:r w:rsidR="00523F99" w:rsidRPr="001B7C9E">
        <w:rPr>
          <w:lang w:val="en-GB"/>
        </w:rPr>
        <w:t xml:space="preserve"> dried </w:t>
      </w:r>
      <w:r w:rsidR="00D14913" w:rsidRPr="001B7C9E">
        <w:rPr>
          <w:lang w:val="en-GB"/>
        </w:rPr>
        <w:t>at 105 °C in the oven for 24 h, while the liquid phase (a mixture of water and DCM)</w:t>
      </w:r>
      <w:r w:rsidR="00D14913">
        <w:rPr>
          <w:lang w:val="en-GB"/>
        </w:rPr>
        <w:t xml:space="preserve"> was separated into bio-crude and aqueous phase in a separating funnel</w:t>
      </w:r>
      <w:r w:rsidR="00D14913" w:rsidRPr="00F40100">
        <w:rPr>
          <w:lang w:val="en-GB"/>
        </w:rPr>
        <w:t>.</w:t>
      </w:r>
      <w:r w:rsidR="00D14913">
        <w:rPr>
          <w:lang w:val="en-GB"/>
        </w:rPr>
        <w:t xml:space="preserve"> In fact,</w:t>
      </w:r>
      <w:r w:rsidR="00D14913" w:rsidRPr="00F40100">
        <w:rPr>
          <w:lang w:val="en-GB"/>
        </w:rPr>
        <w:t xml:space="preserve"> </w:t>
      </w:r>
      <w:r w:rsidR="00D14913" w:rsidRPr="009A07C4">
        <w:rPr>
          <w:lang w:val="en-GB"/>
        </w:rPr>
        <w:t>DCM</w:t>
      </w:r>
      <w:r w:rsidR="00D14913">
        <w:rPr>
          <w:lang w:val="en-GB"/>
        </w:rPr>
        <w:t xml:space="preserve"> has a low polarity and solubility in water, so allowing</w:t>
      </w:r>
      <w:r w:rsidR="00D14913" w:rsidRPr="009A07C4">
        <w:rPr>
          <w:lang w:val="en-GB"/>
        </w:rPr>
        <w:t xml:space="preserve"> possible to solubilise organic compounds and obtain the extraction of bio-crude.</w:t>
      </w:r>
      <w:r w:rsidR="00D14913">
        <w:rPr>
          <w:lang w:val="en-GB"/>
        </w:rPr>
        <w:t xml:space="preserve"> </w:t>
      </w:r>
      <w:r w:rsidR="00D14913" w:rsidRPr="001B7C9E">
        <w:rPr>
          <w:lang w:val="en-GB"/>
        </w:rPr>
        <w:t>Finally, the</w:t>
      </w:r>
      <w:r w:rsidR="00D14913">
        <w:rPr>
          <w:lang w:val="en-GB"/>
        </w:rPr>
        <w:t xml:space="preserve"> bio-oil</w:t>
      </w:r>
      <w:r w:rsidR="00D14913" w:rsidRPr="001B7C9E">
        <w:rPr>
          <w:lang w:val="en-GB"/>
        </w:rPr>
        <w:t xml:space="preserve"> fraction</w:t>
      </w:r>
      <w:r w:rsidR="00D14913">
        <w:rPr>
          <w:lang w:val="en-GB"/>
        </w:rPr>
        <w:t>s</w:t>
      </w:r>
      <w:r w:rsidR="00D14913" w:rsidRPr="001B7C9E">
        <w:rPr>
          <w:lang w:val="en-GB"/>
        </w:rPr>
        <w:t xml:space="preserve"> </w:t>
      </w:r>
      <w:r w:rsidR="00D14913">
        <w:rPr>
          <w:lang w:val="en-GB"/>
        </w:rPr>
        <w:t>(also containing the liquid phase from Soxhlet extraction of the solid residue) are</w:t>
      </w:r>
      <w:r w:rsidR="00D14913" w:rsidRPr="001B7C9E">
        <w:rPr>
          <w:lang w:val="en-GB"/>
        </w:rPr>
        <w:t xml:space="preserve"> obtained by distillation </w:t>
      </w:r>
      <w:r w:rsidR="00D14913">
        <w:rPr>
          <w:lang w:val="en-GB"/>
        </w:rPr>
        <w:t>vs.</w:t>
      </w:r>
      <w:r w:rsidR="00D14913" w:rsidRPr="001B7C9E">
        <w:rPr>
          <w:lang w:val="en-GB"/>
        </w:rPr>
        <w:t xml:space="preserve"> DCM </w:t>
      </w:r>
      <w:r w:rsidR="00D14913">
        <w:rPr>
          <w:lang w:val="en-GB"/>
        </w:rPr>
        <w:t xml:space="preserve">under vacuum </w:t>
      </w:r>
      <w:r w:rsidR="00D14913" w:rsidRPr="001B7C9E">
        <w:rPr>
          <w:lang w:val="en-GB"/>
        </w:rPr>
        <w:t>at 40 ºC</w:t>
      </w:r>
      <w:r w:rsidR="00D14913">
        <w:rPr>
          <w:lang w:val="en-GB"/>
        </w:rPr>
        <w:t xml:space="preserve">, </w:t>
      </w:r>
      <w:r w:rsidR="00D14913" w:rsidRPr="001B7C9E">
        <w:rPr>
          <w:lang w:val="en-GB"/>
        </w:rPr>
        <w:t xml:space="preserve">and </w:t>
      </w:r>
      <w:r w:rsidR="00D14913">
        <w:rPr>
          <w:lang w:val="en-GB"/>
        </w:rPr>
        <w:t xml:space="preserve">subsequently </w:t>
      </w:r>
      <w:r w:rsidR="00D14913" w:rsidRPr="001B7C9E">
        <w:rPr>
          <w:lang w:val="en-GB"/>
        </w:rPr>
        <w:t>weighed to estimate its yield.</w:t>
      </w:r>
      <w:r w:rsidR="00422D05">
        <w:rPr>
          <w:lang w:val="en-GB"/>
        </w:rPr>
        <w:t xml:space="preserve"> </w:t>
      </w:r>
      <w:r w:rsidR="00422D05" w:rsidRPr="009D1FC7">
        <w:rPr>
          <w:lang w:val="en-GB"/>
        </w:rPr>
        <w:t xml:space="preserve">The solid and bio-crude yields </w:t>
      </w:r>
      <w:r w:rsidR="00422D05" w:rsidRPr="009D1FC7">
        <w:rPr>
          <w:i/>
          <w:iCs/>
          <w:lang w:val="en-GB"/>
        </w:rPr>
        <w:t>Y</w:t>
      </w:r>
      <w:r w:rsidR="00422D05" w:rsidRPr="009D1FC7">
        <w:rPr>
          <w:lang w:val="en-GB"/>
        </w:rPr>
        <w:t xml:space="preserve"> were calculated according to equations (1) and (2), respectively:</w:t>
      </w:r>
    </w:p>
    <w:p w14:paraId="23B43F49" w14:textId="77777777" w:rsidR="00422D05" w:rsidRPr="009D1FC7" w:rsidRDefault="007A5494" w:rsidP="00422D05">
      <w:pPr>
        <w:pStyle w:val="CETBodytext"/>
        <w:spacing w:after="240"/>
        <w:rPr>
          <w:rFonts w:cs="Arial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Y</m:t>
            </m:r>
          </m:e>
          <m:sub>
            <m:r>
              <w:rPr>
                <w:rFonts w:ascii="Cambria Math" w:hAnsi="Cambria Math" w:cs="Arial"/>
                <w:lang w:val="en-GB"/>
              </w:rPr>
              <m:t>Solid</m:t>
            </m:r>
          </m:sub>
        </m:sSub>
        <m:r>
          <w:rPr>
            <w:rFonts w:ascii="Cambria Math" w:hAnsi="Cambria Math" w:cs="Arial"/>
            <w:lang w:val="en-GB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solid,  db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lang w:val="en-GB"/>
                  </w:rPr>
                  <m:t>biomass, db</m:t>
                </m:r>
              </m:sub>
            </m:sSub>
          </m:den>
        </m:f>
        <m:r>
          <w:rPr>
            <w:rFonts w:ascii="Cambria Math" w:hAnsi="Cambria Math" w:cs="Arial"/>
            <w:lang w:val="en-GB"/>
          </w:rPr>
          <m:t>∙100</m:t>
        </m:r>
      </m:oMath>
      <w:r w:rsidR="00422D05" w:rsidRPr="009D1FC7">
        <w:rPr>
          <w:rFonts w:cs="Arial"/>
          <w:lang w:val="en-GB"/>
        </w:rPr>
        <w:tab/>
      </w:r>
      <w:r w:rsidR="00422D05" w:rsidRPr="009D1FC7">
        <w:rPr>
          <w:rFonts w:cs="Arial"/>
          <w:lang w:val="en-GB"/>
        </w:rPr>
        <w:tab/>
        <w:t xml:space="preserve">           </w:t>
      </w:r>
      <w:proofErr w:type="gramStart"/>
      <w:r w:rsidR="00422D05" w:rsidRPr="009D1FC7">
        <w:rPr>
          <w:rFonts w:cs="Arial"/>
          <w:lang w:val="en-GB"/>
        </w:rPr>
        <w:t>Eq(</w:t>
      </w:r>
      <w:proofErr w:type="gramEnd"/>
      <w:r w:rsidR="00422D05" w:rsidRPr="009D1FC7">
        <w:rPr>
          <w:rFonts w:cs="Arial"/>
          <w:lang w:val="en-GB"/>
        </w:rPr>
        <w:t>1)</w:t>
      </w:r>
    </w:p>
    <w:p w14:paraId="54ECA916" w14:textId="77777777" w:rsidR="00422D05" w:rsidRPr="009D1FC7" w:rsidRDefault="007A5494" w:rsidP="001A58EF">
      <w:pPr>
        <w:pStyle w:val="CETBodytext"/>
        <w:spacing w:after="120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lang w:val="en-GB"/>
              </w:rPr>
              <m:t>Bio-crude</m:t>
            </m:r>
          </m:sub>
        </m:sSub>
        <m:r>
          <w:rPr>
            <w:rFonts w:ascii="Cambria Math" w:hAnsi="Cambria Math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bio-crude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biomass, dafb</m:t>
                </m:r>
              </m:sub>
            </m:sSub>
          </m:den>
        </m:f>
        <m:r>
          <w:rPr>
            <w:rFonts w:ascii="Cambria Math" w:hAnsi="Cambria Math"/>
            <w:lang w:val="en-GB"/>
          </w:rPr>
          <m:t>∙100</m:t>
        </m:r>
      </m:oMath>
      <w:r w:rsidR="00422D05" w:rsidRPr="009D1FC7">
        <w:rPr>
          <w:lang w:val="en-GB"/>
        </w:rPr>
        <w:tab/>
      </w:r>
      <w:r w:rsidR="00422D05" w:rsidRPr="009D1FC7">
        <w:rPr>
          <w:lang w:val="en-GB"/>
        </w:rPr>
        <w:tab/>
        <w:t xml:space="preserve">           </w:t>
      </w:r>
      <w:proofErr w:type="spellStart"/>
      <w:proofErr w:type="gramStart"/>
      <w:r w:rsidR="00422D05" w:rsidRPr="009D1FC7">
        <w:rPr>
          <w:lang w:val="en-GB"/>
        </w:rPr>
        <w:t>Eq</w:t>
      </w:r>
      <w:proofErr w:type="spellEnd"/>
      <w:r w:rsidR="00422D05" w:rsidRPr="009D1FC7">
        <w:rPr>
          <w:lang w:val="en-GB"/>
        </w:rPr>
        <w:t>(</w:t>
      </w:r>
      <w:proofErr w:type="gramEnd"/>
      <w:r w:rsidR="00422D05" w:rsidRPr="009D1FC7">
        <w:rPr>
          <w:lang w:val="en-GB"/>
        </w:rPr>
        <w:t>2)</w:t>
      </w:r>
    </w:p>
    <w:p w14:paraId="045E8F40" w14:textId="058DD13F" w:rsidR="00D14913" w:rsidRDefault="00422D05" w:rsidP="00D14913">
      <w:pPr>
        <w:pStyle w:val="CETBodytext"/>
        <w:spacing w:after="240"/>
        <w:rPr>
          <w:lang w:val="en-GB"/>
        </w:rPr>
      </w:pPr>
      <w:r w:rsidRPr="009D1FC7">
        <w:rPr>
          <w:lang w:val="en-GB"/>
        </w:rPr>
        <w:t xml:space="preserve">where </w:t>
      </w:r>
      <w:proofErr w:type="spellStart"/>
      <w:proofErr w:type="gramStart"/>
      <w:r w:rsidRPr="009D1FC7">
        <w:rPr>
          <w:i/>
          <w:lang w:val="en-GB"/>
        </w:rPr>
        <w:t>m</w:t>
      </w:r>
      <w:r w:rsidRPr="009D1FC7">
        <w:rPr>
          <w:i/>
          <w:vertAlign w:val="subscript"/>
          <w:lang w:val="en-GB"/>
        </w:rPr>
        <w:t>solid,db</w:t>
      </w:r>
      <w:proofErr w:type="spellEnd"/>
      <w:proofErr w:type="gramEnd"/>
      <w:r w:rsidRPr="009D1FC7">
        <w:rPr>
          <w:lang w:val="en-GB"/>
        </w:rPr>
        <w:t xml:space="preserve">, </w:t>
      </w:r>
      <w:proofErr w:type="spellStart"/>
      <w:r w:rsidRPr="009D1FC7">
        <w:rPr>
          <w:i/>
          <w:lang w:val="en-GB"/>
        </w:rPr>
        <w:t>m</w:t>
      </w:r>
      <w:r w:rsidRPr="009D1FC7">
        <w:rPr>
          <w:i/>
          <w:vertAlign w:val="subscript"/>
          <w:lang w:val="en-GB"/>
        </w:rPr>
        <w:t>bio</w:t>
      </w:r>
      <w:proofErr w:type="spellEnd"/>
      <w:r w:rsidRPr="009D1FC7">
        <w:rPr>
          <w:i/>
          <w:vertAlign w:val="subscript"/>
          <w:lang w:val="en-GB"/>
        </w:rPr>
        <w:t>-crude</w:t>
      </w:r>
      <w:r w:rsidRPr="009D1FC7">
        <w:rPr>
          <w:lang w:val="en-GB"/>
        </w:rPr>
        <w:t xml:space="preserve"> and </w:t>
      </w:r>
      <w:proofErr w:type="spellStart"/>
      <w:r w:rsidRPr="009D1FC7">
        <w:rPr>
          <w:i/>
          <w:lang w:val="en-GB"/>
        </w:rPr>
        <w:t>m</w:t>
      </w:r>
      <w:r w:rsidRPr="009D1FC7">
        <w:rPr>
          <w:i/>
          <w:vertAlign w:val="subscript"/>
          <w:lang w:val="en-GB"/>
        </w:rPr>
        <w:t>biomass,dafb</w:t>
      </w:r>
      <w:proofErr w:type="spellEnd"/>
      <w:r w:rsidRPr="009D1FC7">
        <w:rPr>
          <w:lang w:val="en-GB"/>
        </w:rPr>
        <w:t xml:space="preserve"> represent the mass of solid residue, bio-crude and starting biomass, respectively. The subscripts “</w:t>
      </w:r>
      <w:proofErr w:type="spellStart"/>
      <w:r w:rsidRPr="009D1FC7">
        <w:rPr>
          <w:i/>
          <w:lang w:val="en-GB"/>
        </w:rPr>
        <w:t>db</w:t>
      </w:r>
      <w:proofErr w:type="spellEnd"/>
      <w:r w:rsidRPr="009D1FC7">
        <w:rPr>
          <w:iCs/>
          <w:lang w:val="en-GB"/>
        </w:rPr>
        <w:t>”</w:t>
      </w:r>
      <w:r w:rsidRPr="009D1FC7">
        <w:rPr>
          <w:lang w:val="en-GB"/>
        </w:rPr>
        <w:t xml:space="preserve"> and “</w:t>
      </w:r>
      <w:proofErr w:type="spellStart"/>
      <w:r w:rsidRPr="009D1FC7">
        <w:rPr>
          <w:i/>
          <w:iCs/>
          <w:lang w:val="en-GB"/>
        </w:rPr>
        <w:t>dafb</w:t>
      </w:r>
      <w:proofErr w:type="spellEnd"/>
      <w:r w:rsidRPr="009D1FC7">
        <w:rPr>
          <w:lang w:val="en-GB"/>
        </w:rPr>
        <w:t>” refers to dry and dry ash-free basis, respectively.</w:t>
      </w:r>
    </w:p>
    <w:p w14:paraId="67B6E90C" w14:textId="3BB189A6" w:rsidR="006857D2" w:rsidRDefault="00D14913" w:rsidP="001A58EF">
      <w:pPr>
        <w:pStyle w:val="CETBodytext"/>
        <w:spacing w:after="120"/>
        <w:rPr>
          <w:lang w:val="en-GB"/>
        </w:rPr>
      </w:pPr>
      <w:r w:rsidRPr="001B7C9E">
        <w:rPr>
          <w:lang w:val="en-GB"/>
        </w:rPr>
        <w:lastRenderedPageBreak/>
        <w:t xml:space="preserve"> </w:t>
      </w:r>
      <w:r w:rsidR="006C5F6D">
        <w:rPr>
          <w:noProof/>
        </w:rPr>
        <w:drawing>
          <wp:inline distT="0" distB="0" distL="0" distR="0" wp14:anchorId="452665DE" wp14:editId="20EFEB8A">
            <wp:extent cx="3808790" cy="2304000"/>
            <wp:effectExtent l="0" t="0" r="127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9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7534A" w14:textId="77777777" w:rsidR="006857D2" w:rsidRPr="001B7C9E" w:rsidRDefault="006857D2" w:rsidP="001A58EF">
      <w:pPr>
        <w:pStyle w:val="CETBodytext"/>
        <w:spacing w:after="120"/>
        <w:rPr>
          <w:lang w:val="en-GB"/>
        </w:rPr>
      </w:pPr>
      <w:r>
        <w:rPr>
          <w:i/>
          <w:lang w:val="en-GB"/>
        </w:rPr>
        <w:t>Figure 2</w:t>
      </w:r>
      <w:r w:rsidRPr="001B7C9E">
        <w:rPr>
          <w:i/>
          <w:lang w:val="en-GB"/>
        </w:rPr>
        <w:t>:</w:t>
      </w:r>
      <w:r>
        <w:rPr>
          <w:i/>
          <w:lang w:val="en-GB"/>
        </w:rPr>
        <w:t xml:space="preserve"> Experimental protocol for the separation of HTL products.</w:t>
      </w:r>
    </w:p>
    <w:p w14:paraId="42313F4F" w14:textId="47F712A1" w:rsidR="00977366" w:rsidRPr="001B7C9E" w:rsidRDefault="00977366" w:rsidP="00977366">
      <w:pPr>
        <w:pStyle w:val="CETHeading1"/>
        <w:rPr>
          <w:lang w:val="en-GB"/>
        </w:rPr>
      </w:pPr>
      <w:r w:rsidRPr="001B7C9E">
        <w:rPr>
          <w:lang w:val="en-GB"/>
        </w:rPr>
        <w:t>Results</w:t>
      </w:r>
    </w:p>
    <w:p w14:paraId="3B438014" w14:textId="5696DA07" w:rsidR="009A07C4" w:rsidRPr="001A58EF" w:rsidRDefault="009A07C4">
      <w:pPr>
        <w:pStyle w:val="CETheadingx"/>
        <w:rPr>
          <w:b w:val="0"/>
          <w:bCs/>
        </w:rPr>
      </w:pPr>
      <w:r w:rsidRPr="001A58EF">
        <w:rPr>
          <w:b w:val="0"/>
          <w:bCs/>
        </w:rPr>
        <w:t>In the following paragraphs the results of the setup of the HTL apparatus, together with the preliminary results of the HTL test</w:t>
      </w:r>
      <w:r w:rsidR="00E04207" w:rsidRPr="001A58EF">
        <w:rPr>
          <w:b w:val="0"/>
          <w:bCs/>
        </w:rPr>
        <w:t>s</w:t>
      </w:r>
      <w:r w:rsidRPr="001A58EF">
        <w:rPr>
          <w:b w:val="0"/>
          <w:bCs/>
        </w:rPr>
        <w:t xml:space="preserve"> performed on the sludge</w:t>
      </w:r>
      <w:r w:rsidR="006F78CC" w:rsidRPr="001A58EF">
        <w:rPr>
          <w:b w:val="0"/>
          <w:bCs/>
        </w:rPr>
        <w:t>,</w:t>
      </w:r>
      <w:r w:rsidRPr="001A58EF">
        <w:rPr>
          <w:b w:val="0"/>
          <w:bCs/>
        </w:rPr>
        <w:t xml:space="preserve"> </w:t>
      </w:r>
      <w:r w:rsidR="006F78CC" w:rsidRPr="001A58EF">
        <w:rPr>
          <w:b w:val="0"/>
          <w:bCs/>
        </w:rPr>
        <w:t xml:space="preserve">are </w:t>
      </w:r>
      <w:r w:rsidRPr="001A58EF">
        <w:rPr>
          <w:b w:val="0"/>
          <w:bCs/>
        </w:rPr>
        <w:t>reported.</w:t>
      </w:r>
    </w:p>
    <w:p w14:paraId="753EBCD9" w14:textId="61A4AF8E" w:rsidR="006D14AA" w:rsidRPr="001B7C9E" w:rsidRDefault="009A07C4">
      <w:pPr>
        <w:pStyle w:val="CETheadingx"/>
      </w:pPr>
      <w:r>
        <w:t>3.1</w:t>
      </w:r>
      <w:r w:rsidR="002B1160">
        <w:t xml:space="preserve"> </w:t>
      </w:r>
      <w:r w:rsidR="006D14AA" w:rsidRPr="006D14AA">
        <w:t>Setup of HTL apparatus and heating/cooling rate for HTL system</w:t>
      </w:r>
    </w:p>
    <w:p w14:paraId="1CF42255" w14:textId="1B023CC2" w:rsidR="00061475" w:rsidRDefault="006D14AA" w:rsidP="008C354E">
      <w:pPr>
        <w:pStyle w:val="CETBodytext"/>
        <w:rPr>
          <w:lang w:val="en-GB"/>
        </w:rPr>
      </w:pPr>
      <w:r w:rsidRPr="006D14AA">
        <w:rPr>
          <w:lang w:val="en-GB"/>
        </w:rPr>
        <w:t xml:space="preserve">The heating/cooling rate upon HTL tests </w:t>
      </w:r>
      <w:r w:rsidR="006D1BD8" w:rsidRPr="006D14AA">
        <w:rPr>
          <w:lang w:val="en-GB"/>
        </w:rPr>
        <w:t>must</w:t>
      </w:r>
      <w:r w:rsidRPr="006D14AA">
        <w:rPr>
          <w:lang w:val="en-GB"/>
        </w:rPr>
        <w:t xml:space="preserve"> be as high as possible, to limit to the formation of undesirable products. </w:t>
      </w:r>
      <w:r w:rsidR="006D1BD8">
        <w:rPr>
          <w:lang w:val="en-GB"/>
        </w:rPr>
        <w:t>Moreover, t</w:t>
      </w:r>
      <w:r w:rsidR="006D1BD8" w:rsidRPr="006D14AA">
        <w:rPr>
          <w:lang w:val="en-GB"/>
        </w:rPr>
        <w:t xml:space="preserve">his </w:t>
      </w:r>
      <w:r w:rsidRPr="006D14AA">
        <w:rPr>
          <w:lang w:val="en-GB"/>
        </w:rPr>
        <w:t xml:space="preserve">rate affects the time-dependent evolution of phases produced along the isothermal stage of HTL. </w:t>
      </w:r>
    </w:p>
    <w:p w14:paraId="2B621723" w14:textId="72E79831" w:rsidR="00BB3DE0" w:rsidRPr="006857D2" w:rsidRDefault="00106C8D" w:rsidP="006857D2">
      <w:pPr>
        <w:pStyle w:val="CETBodytext"/>
        <w:rPr>
          <w:lang w:val="en-GB"/>
        </w:rPr>
      </w:pPr>
      <w:r>
        <w:t>Figure 3 reports the experimental time-dependent thermal profiles obtained by heating the reactor from room temperature to the operating temperature of 340</w:t>
      </w:r>
      <w:r w:rsidR="00C2754F">
        <w:t xml:space="preserve"> </w:t>
      </w:r>
      <w:r>
        <w:t>°C, the latter chosen as a reference from a preliminary literature analysis</w:t>
      </w:r>
      <w:r w:rsidR="00FB1869">
        <w:t xml:space="preserve"> </w:t>
      </w:r>
      <w:r w:rsidR="00E07B3D">
        <w:t xml:space="preserve">(Di </w:t>
      </w:r>
      <w:proofErr w:type="spellStart"/>
      <w:r w:rsidR="00E07B3D">
        <w:t>Lauro</w:t>
      </w:r>
      <w:proofErr w:type="spellEnd"/>
      <w:r w:rsidR="00E07B3D">
        <w:t xml:space="preserve"> et al. 2020). </w:t>
      </w:r>
      <w:r w:rsidR="00FB1869" w:rsidRPr="00FB1869">
        <w:rPr>
          <w:lang w:val="en-GB"/>
        </w:rPr>
        <w:t>The blue curve “base system” represents the temperature in the reactor when water is heated by only using the electric heating block of the system (co-axial with the reactor), while the orange curve “upgraded system” is obtained by heating the reactor also with the support of a 1000 W heating plate located on the bottom of the vessel and by thermally insulating the head of the reactor with a layer of rock wool. Two regions of interest are highlighted: the red one for temperature values between 200–280 °C</w:t>
      </w:r>
      <w:r w:rsidR="0052232B">
        <w:rPr>
          <w:lang w:val="en-GB"/>
        </w:rPr>
        <w:t>,</w:t>
      </w:r>
      <w:r w:rsidR="00FB1869" w:rsidRPr="00FB1869">
        <w:rPr>
          <w:lang w:val="en-GB"/>
        </w:rPr>
        <w:t xml:space="preserve"> and the green one between 290–340</w:t>
      </w:r>
      <w:r w:rsidR="0052232B">
        <w:rPr>
          <w:lang w:val="en-GB"/>
        </w:rPr>
        <w:t xml:space="preserve"> </w:t>
      </w:r>
      <w:r w:rsidR="00FB1869" w:rsidRPr="00FB1869">
        <w:rPr>
          <w:lang w:val="en-GB"/>
        </w:rPr>
        <w:t>°C. During HTL test, the permanence of the system in the red region, over a period of 40–120 min, leads to the preferential formation of bio-char, while the temperature range highlighted by the green region leads to the preferential formation of bio-oil for characteristic reaction times of 15–30 min.</w:t>
      </w:r>
    </w:p>
    <w:p w14:paraId="39C684D7" w14:textId="79571A0A" w:rsidR="006857D2" w:rsidRDefault="006D14AA" w:rsidP="001A58EF">
      <w:pPr>
        <w:pStyle w:val="CETBodytext"/>
        <w:spacing w:after="120"/>
      </w:pPr>
      <w:r>
        <w:t>Results show that, for the base system, a total heating time of 85 min is required: the system persists for about 25 min in the region of preferential bio-char formation and remains for 30 min in the range of temperatures characteristic of bio-oil formation, before reaching the desired final temperature of 340</w:t>
      </w:r>
      <w:r w:rsidR="0052232B">
        <w:t xml:space="preserve"> </w:t>
      </w:r>
      <w:r>
        <w:t>°C.</w:t>
      </w:r>
      <w:r w:rsidR="00106C8D">
        <w:t xml:space="preserve"> </w:t>
      </w:r>
      <w:r w:rsidR="00742197">
        <w:t xml:space="preserve">Overall, the </w:t>
      </w:r>
      <w:r w:rsidR="00380BD3">
        <w:t xml:space="preserve">mean </w:t>
      </w:r>
      <w:r w:rsidR="00742197">
        <w:t xml:space="preserve">heating rate is about </w:t>
      </w:r>
      <w:r w:rsidR="00FC56DD">
        <w:t>4</w:t>
      </w:r>
      <w:r w:rsidR="00FF4BB0">
        <w:t xml:space="preserve"> </w:t>
      </w:r>
      <w:r w:rsidR="00742197">
        <w:t xml:space="preserve">°C/min, value typical </w:t>
      </w:r>
      <w:r w:rsidR="00B9137C">
        <w:t xml:space="preserve">for </w:t>
      </w:r>
      <w:r w:rsidR="00742197">
        <w:t xml:space="preserve">HTL </w:t>
      </w:r>
      <w:r w:rsidR="00B9137C">
        <w:t>process carried out in reactor</w:t>
      </w:r>
      <w:r w:rsidR="006871AB">
        <w:t>s</w:t>
      </w:r>
      <w:r w:rsidR="00B9137C">
        <w:t xml:space="preserve"> of similar </w:t>
      </w:r>
      <w:r w:rsidR="00742197">
        <w:t xml:space="preserve">size </w:t>
      </w:r>
      <w:r w:rsidR="00F13438">
        <w:t>(see for example Brand et al. (2014) and Table 1 reported therein)</w:t>
      </w:r>
      <w:r w:rsidR="00742197">
        <w:t>.</w:t>
      </w:r>
    </w:p>
    <w:p w14:paraId="7FFB6B78" w14:textId="564DE83D" w:rsidR="00F13438" w:rsidRDefault="00F13438" w:rsidP="001A58EF">
      <w:pPr>
        <w:pStyle w:val="CETBodytext"/>
        <w:rPr>
          <w:i/>
        </w:rPr>
      </w:pPr>
      <w:r>
        <w:rPr>
          <w:noProof/>
        </w:rPr>
        <w:drawing>
          <wp:inline distT="0" distB="0" distL="0" distR="0" wp14:anchorId="05D34900" wp14:editId="045D9B3C">
            <wp:extent cx="3635900" cy="2304000"/>
            <wp:effectExtent l="0" t="0" r="0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"/>
                    <a:stretch/>
                  </pic:blipFill>
                  <pic:spPr bwMode="auto">
                    <a:xfrm>
                      <a:off x="0" y="0"/>
                      <a:ext cx="36359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2FB75" w14:textId="3FB438FF" w:rsidR="006857D2" w:rsidRPr="001E4185" w:rsidRDefault="006857D2" w:rsidP="001A58EF">
      <w:pPr>
        <w:pStyle w:val="CETBodytext"/>
        <w:spacing w:after="120"/>
        <w:rPr>
          <w:i/>
        </w:rPr>
      </w:pPr>
      <w:r w:rsidRPr="00B837D6">
        <w:rPr>
          <w:i/>
        </w:rPr>
        <w:lastRenderedPageBreak/>
        <w:t>Figure 3:</w:t>
      </w:r>
      <w:r w:rsidRPr="00B837D6">
        <w:t xml:space="preserve"> </w:t>
      </w:r>
      <w:r w:rsidRPr="00B837D6">
        <w:rPr>
          <w:i/>
        </w:rPr>
        <w:t>Performance of heating and cooling of HTL reactor</w:t>
      </w:r>
      <w:r>
        <w:rPr>
          <w:i/>
        </w:rPr>
        <w:t>, expressed as temperature-time plots</w:t>
      </w:r>
      <w:r w:rsidRPr="00B837D6">
        <w:rPr>
          <w:i/>
        </w:rPr>
        <w:t>. Tests carried out in triplicates.</w:t>
      </w:r>
    </w:p>
    <w:p w14:paraId="16E8E5D4" w14:textId="63517E28" w:rsidR="00061475" w:rsidRDefault="006871AB" w:rsidP="006630DE">
      <w:pPr>
        <w:pStyle w:val="CETBodytext"/>
      </w:pPr>
      <w:r>
        <w:t xml:space="preserve">From literature data, </w:t>
      </w:r>
      <w:r w:rsidR="00106C8D">
        <w:t>d</w:t>
      </w:r>
      <w:r w:rsidR="00106C8D" w:rsidRPr="00106C8D">
        <w:t>uring HTL test, the permanence of the system in the red region</w:t>
      </w:r>
      <w:r w:rsidR="0052232B">
        <w:t xml:space="preserve"> </w:t>
      </w:r>
      <w:r w:rsidR="00106C8D" w:rsidRPr="00106C8D">
        <w:t>over a period of 40–120 min leads to the preferential formation of bio-char</w:t>
      </w:r>
      <w:r w:rsidR="00106C8D">
        <w:t>, while</w:t>
      </w:r>
      <w:r w:rsidR="00D25E28">
        <w:t xml:space="preserve"> </w:t>
      </w:r>
      <w:r w:rsidR="00D25E28" w:rsidRPr="00D25E28">
        <w:t>the temperature range highlighted by the green region leads to the preferential formation of bio-oil for characteristic reaction times of 15–30 min</w:t>
      </w:r>
      <w:r w:rsidR="00D25E28">
        <w:t>.</w:t>
      </w:r>
      <w:r w:rsidR="006D14AA">
        <w:t xml:space="preserve"> For the upgraded system, a significant amelioration of the heating rate is attained</w:t>
      </w:r>
      <w:r w:rsidR="00A44744">
        <w:t>, about 8</w:t>
      </w:r>
      <w:r w:rsidR="00FF4BB0">
        <w:t xml:space="preserve"> </w:t>
      </w:r>
      <w:r w:rsidR="00A44744">
        <w:t>°C/min</w:t>
      </w:r>
      <w:r w:rsidR="006D14AA">
        <w:t>, with the total heating time being practically halved with respect to the base system; the permanence in the region of preferential formation of</w:t>
      </w:r>
      <w:r w:rsidR="00106C8D">
        <w:t xml:space="preserve"> bio-char is limited to 15 min.</w:t>
      </w:r>
      <w:r w:rsidR="00106C8D" w:rsidRPr="00106C8D">
        <w:t xml:space="preserve"> </w:t>
      </w:r>
      <w:r w:rsidR="00A44744" w:rsidRPr="00A44744">
        <w:t xml:space="preserve">This result is encouraging for the </w:t>
      </w:r>
      <w:proofErr w:type="spellStart"/>
      <w:r w:rsidR="00380BD3">
        <w:t>minimis</w:t>
      </w:r>
      <w:r>
        <w:t>ation</w:t>
      </w:r>
      <w:proofErr w:type="spellEnd"/>
      <w:r>
        <w:t xml:space="preserve"> of </w:t>
      </w:r>
      <w:r w:rsidRPr="00A44744">
        <w:t xml:space="preserve">the course of the undesired reactions </w:t>
      </w:r>
      <w:r>
        <w:t xml:space="preserve">during the </w:t>
      </w:r>
      <w:r w:rsidR="00A44744" w:rsidRPr="00A44744">
        <w:t xml:space="preserve">HTL </w:t>
      </w:r>
      <w:r w:rsidR="003B2EEE">
        <w:t>tests</w:t>
      </w:r>
      <w:r w:rsidR="00A44744" w:rsidRPr="00A44744">
        <w:t xml:space="preserve"> in the upgraded configura</w:t>
      </w:r>
      <w:r>
        <w:t>tion of the 500</w:t>
      </w:r>
      <w:r w:rsidR="00FF4BB0">
        <w:t xml:space="preserve"> </w:t>
      </w:r>
      <w:r>
        <w:t>mL batch reactor</w:t>
      </w:r>
      <w:r w:rsidR="00A44744">
        <w:t xml:space="preserve">. </w:t>
      </w:r>
      <w:r w:rsidR="00106C8D" w:rsidRPr="00106C8D">
        <w:t>For both systems, the cooling stage is very fast and in the order of 5 min</w:t>
      </w:r>
      <w:r w:rsidR="003B2EEE">
        <w:t xml:space="preserve"> with a mean cooling rate of about 30</w:t>
      </w:r>
      <w:r w:rsidR="00FF4BB0">
        <w:t xml:space="preserve"> </w:t>
      </w:r>
      <w:r w:rsidR="003B2EEE">
        <w:t>°C/min</w:t>
      </w:r>
      <w:r w:rsidR="00106C8D" w:rsidRPr="00106C8D">
        <w:t xml:space="preserve">. </w:t>
      </w:r>
    </w:p>
    <w:p w14:paraId="43DEFE4C" w14:textId="65721FFF" w:rsidR="00D25E28" w:rsidRDefault="002B1160">
      <w:pPr>
        <w:pStyle w:val="CETheadingx"/>
      </w:pPr>
      <w:r>
        <w:t xml:space="preserve">3.2 </w:t>
      </w:r>
      <w:r w:rsidR="007B14A7">
        <w:t>Municipal sludge HTL test and y</w:t>
      </w:r>
      <w:r w:rsidR="0066311A">
        <w:t>ields of products</w:t>
      </w:r>
    </w:p>
    <w:p w14:paraId="761E506B" w14:textId="3017A53B" w:rsidR="007B14A7" w:rsidRDefault="0066311A" w:rsidP="001A58EF">
      <w:pPr>
        <w:pStyle w:val="CETBodytext"/>
        <w:spacing w:after="200"/>
        <w:rPr>
          <w:lang w:val="en-GB"/>
        </w:rPr>
      </w:pPr>
      <w:r>
        <w:rPr>
          <w:lang w:val="en-GB"/>
        </w:rPr>
        <w:t xml:space="preserve">After </w:t>
      </w:r>
      <w:r w:rsidRPr="0066311A">
        <w:rPr>
          <w:lang w:val="en-GB"/>
        </w:rPr>
        <w:t xml:space="preserve">the optimisation of the HTL reactor, the </w:t>
      </w:r>
      <w:r>
        <w:rPr>
          <w:lang w:val="en-GB"/>
        </w:rPr>
        <w:t>municipal</w:t>
      </w:r>
      <w:r w:rsidRPr="0066311A">
        <w:rPr>
          <w:lang w:val="en-GB"/>
        </w:rPr>
        <w:t xml:space="preserve"> sludge </w:t>
      </w:r>
      <w:r w:rsidR="00C441A2">
        <w:rPr>
          <w:lang w:val="en-GB"/>
        </w:rPr>
        <w:t>was used for</w:t>
      </w:r>
      <w:r w:rsidR="005465AD">
        <w:rPr>
          <w:lang w:val="en-GB"/>
        </w:rPr>
        <w:t xml:space="preserve"> preliminary </w:t>
      </w:r>
      <w:r w:rsidR="00C2754F">
        <w:rPr>
          <w:lang w:val="en-GB"/>
        </w:rPr>
        <w:t>hydrothermal liquefaction</w:t>
      </w:r>
      <w:r w:rsidR="005465AD">
        <w:rPr>
          <w:lang w:val="en-GB"/>
        </w:rPr>
        <w:t xml:space="preserve"> test</w:t>
      </w:r>
      <w:r w:rsidR="008D5470">
        <w:rPr>
          <w:lang w:val="en-GB"/>
        </w:rPr>
        <w:t>s</w:t>
      </w:r>
      <w:r w:rsidR="005465AD">
        <w:rPr>
          <w:lang w:val="en-GB"/>
        </w:rPr>
        <w:t xml:space="preserve"> performed</w:t>
      </w:r>
      <w:r>
        <w:rPr>
          <w:lang w:val="en-GB"/>
        </w:rPr>
        <w:t xml:space="preserve"> at </w:t>
      </w:r>
      <w:r w:rsidR="008D5470">
        <w:rPr>
          <w:lang w:val="en-GB"/>
        </w:rPr>
        <w:t xml:space="preserve">300 and 350 </w:t>
      </w:r>
      <w:r>
        <w:rPr>
          <w:lang w:val="en-GB"/>
        </w:rPr>
        <w:t>°C and 200 bar</w:t>
      </w:r>
      <w:r w:rsidR="00C2754F">
        <w:rPr>
          <w:lang w:val="en-GB"/>
        </w:rPr>
        <w:t xml:space="preserve"> for </w:t>
      </w:r>
      <w:r w:rsidR="009B7CE4">
        <w:rPr>
          <w:lang w:val="en-GB"/>
        </w:rPr>
        <w:t>20</w:t>
      </w:r>
      <w:r w:rsidR="00C2754F">
        <w:rPr>
          <w:lang w:val="en-GB"/>
        </w:rPr>
        <w:t xml:space="preserve"> min</w:t>
      </w:r>
      <w:r w:rsidR="0052232B">
        <w:rPr>
          <w:lang w:val="en-GB"/>
        </w:rPr>
        <w:t>,</w:t>
      </w:r>
      <w:r>
        <w:rPr>
          <w:lang w:val="en-GB"/>
        </w:rPr>
        <w:t xml:space="preserve"> to verify the bio-oil and solid residue yield under the tested condition</w:t>
      </w:r>
      <w:r w:rsidR="00E07B3D">
        <w:rPr>
          <w:lang w:val="en-GB"/>
        </w:rPr>
        <w:t xml:space="preserve"> (Di </w:t>
      </w:r>
      <w:proofErr w:type="spellStart"/>
      <w:r w:rsidR="00E07B3D">
        <w:rPr>
          <w:lang w:val="en-GB"/>
        </w:rPr>
        <w:t>Lauro</w:t>
      </w:r>
      <w:proofErr w:type="spellEnd"/>
      <w:r w:rsidR="00E07B3D">
        <w:rPr>
          <w:lang w:val="en-GB"/>
        </w:rPr>
        <w:t xml:space="preserve"> et al</w:t>
      </w:r>
      <w:r w:rsidR="002B1160">
        <w:rPr>
          <w:lang w:val="en-GB"/>
        </w:rPr>
        <w:t>.</w:t>
      </w:r>
      <w:r w:rsidR="00BB63AB">
        <w:rPr>
          <w:lang w:val="en-GB"/>
        </w:rPr>
        <w:t xml:space="preserve"> </w:t>
      </w:r>
      <w:r w:rsidR="007F760E">
        <w:rPr>
          <w:lang w:val="en-GB"/>
        </w:rPr>
        <w:t>2021</w:t>
      </w:r>
      <w:r w:rsidR="00BB63AB">
        <w:rPr>
          <w:lang w:val="en-GB"/>
        </w:rPr>
        <w:t>).</w:t>
      </w:r>
      <w:r w:rsidR="00533C59">
        <w:rPr>
          <w:lang w:val="en-GB"/>
        </w:rPr>
        <w:t xml:space="preserve"> T</w:t>
      </w:r>
      <w:r w:rsidR="007B14A7" w:rsidRPr="00533C59">
        <w:rPr>
          <w:lang w:val="en-GB"/>
        </w:rPr>
        <w:t xml:space="preserve">he pressure </w:t>
      </w:r>
      <w:r w:rsidR="00533C59">
        <w:rPr>
          <w:lang w:val="en-GB"/>
        </w:rPr>
        <w:t>vs</w:t>
      </w:r>
      <w:r w:rsidR="007B14A7" w:rsidRPr="00533C59">
        <w:rPr>
          <w:lang w:val="en-GB"/>
        </w:rPr>
        <w:t xml:space="preserve"> temperature </w:t>
      </w:r>
      <w:r w:rsidR="00533C59">
        <w:rPr>
          <w:lang w:val="en-GB"/>
        </w:rPr>
        <w:t>curve during the thermal transient</w:t>
      </w:r>
      <w:r w:rsidR="007B14A7" w:rsidRPr="00533C59">
        <w:rPr>
          <w:lang w:val="en-GB"/>
        </w:rPr>
        <w:t xml:space="preserve"> and the isothermal step, for the upgraded system </w:t>
      </w:r>
      <w:r w:rsidR="00533C59">
        <w:rPr>
          <w:lang w:val="en-GB"/>
        </w:rPr>
        <w:t>during the</w:t>
      </w:r>
      <w:r w:rsidR="007B14A7" w:rsidRPr="00533C59">
        <w:rPr>
          <w:lang w:val="en-GB"/>
        </w:rPr>
        <w:t xml:space="preserve"> </w:t>
      </w:r>
      <w:r w:rsidR="00533C59">
        <w:rPr>
          <w:lang w:val="en-GB"/>
        </w:rPr>
        <w:t>municipal sludge</w:t>
      </w:r>
      <w:r w:rsidR="00533C59" w:rsidRPr="00533C59">
        <w:rPr>
          <w:lang w:val="en-GB"/>
        </w:rPr>
        <w:t xml:space="preserve"> </w:t>
      </w:r>
      <w:r w:rsidR="007B14A7" w:rsidRPr="00533C59">
        <w:rPr>
          <w:lang w:val="en-GB"/>
        </w:rPr>
        <w:t>HTL tes</w:t>
      </w:r>
      <w:r w:rsidR="00533C59">
        <w:rPr>
          <w:lang w:val="en-GB"/>
        </w:rPr>
        <w:t>t</w:t>
      </w:r>
      <w:r w:rsidR="00C441A2">
        <w:rPr>
          <w:lang w:val="en-GB"/>
        </w:rPr>
        <w:t>, i</w:t>
      </w:r>
      <w:r w:rsidR="00533C59">
        <w:rPr>
          <w:lang w:val="en-GB"/>
        </w:rPr>
        <w:t>s</w:t>
      </w:r>
      <w:r w:rsidR="007B14A7" w:rsidRPr="00533C59">
        <w:rPr>
          <w:lang w:val="en-GB"/>
        </w:rPr>
        <w:t xml:space="preserve"> </w:t>
      </w:r>
      <w:r w:rsidR="00533C59">
        <w:rPr>
          <w:lang w:val="en-GB"/>
        </w:rPr>
        <w:t xml:space="preserve">reported in Figure 4 together with transient data obtained under </w:t>
      </w:r>
      <w:r w:rsidR="00533C59" w:rsidRPr="00533C59">
        <w:rPr>
          <w:lang w:val="en-GB"/>
        </w:rPr>
        <w:t>unreactive</w:t>
      </w:r>
      <w:r w:rsidR="00533C59">
        <w:rPr>
          <w:lang w:val="en-GB"/>
        </w:rPr>
        <w:t xml:space="preserve"> conditions similar to those shown in Figure 3 (orange curve).</w:t>
      </w:r>
      <w:r w:rsidR="007B14A7" w:rsidRPr="00533C59">
        <w:rPr>
          <w:lang w:val="en-GB"/>
        </w:rPr>
        <w:t xml:space="preserve"> It is </w:t>
      </w:r>
      <w:r w:rsidR="00C20564">
        <w:rPr>
          <w:lang w:val="en-GB"/>
        </w:rPr>
        <w:t xml:space="preserve">worth to note that </w:t>
      </w:r>
      <w:bookmarkStart w:id="2" w:name="_Hlk95298864"/>
      <w:r w:rsidR="007B14A7" w:rsidRPr="00533C59">
        <w:rPr>
          <w:lang w:val="en-GB"/>
        </w:rPr>
        <w:t>the evolution of pressure as a function of temperature</w:t>
      </w:r>
      <w:bookmarkEnd w:id="2"/>
      <w:r w:rsidR="007B14A7" w:rsidRPr="00533C59">
        <w:rPr>
          <w:lang w:val="en-GB"/>
        </w:rPr>
        <w:t xml:space="preserve"> </w:t>
      </w:r>
      <w:r w:rsidR="00C20564">
        <w:rPr>
          <w:lang w:val="en-GB"/>
        </w:rPr>
        <w:t xml:space="preserve">during the HTL test can be almost overlapped to that under unreactive conditions </w:t>
      </w:r>
      <w:r w:rsidR="007B14A7" w:rsidRPr="00533C59">
        <w:rPr>
          <w:lang w:val="en-GB"/>
        </w:rPr>
        <w:t xml:space="preserve">up to the temperature of about </w:t>
      </w:r>
      <w:r w:rsidR="00822E76">
        <w:rPr>
          <w:lang w:val="en-GB"/>
        </w:rPr>
        <w:t>320</w:t>
      </w:r>
      <w:r w:rsidR="007B14A7" w:rsidRPr="00533C59">
        <w:rPr>
          <w:lang w:val="en-GB"/>
        </w:rPr>
        <w:t xml:space="preserve"> ºC. The subsequent increase in temperature, during the sludge HTL test, causes a sudden rise of pressure compared to that </w:t>
      </w:r>
      <w:r w:rsidR="00822E76">
        <w:rPr>
          <w:lang w:val="en-GB"/>
        </w:rPr>
        <w:t>observed</w:t>
      </w:r>
      <w:r w:rsidR="007B14A7" w:rsidRPr="00533C59">
        <w:rPr>
          <w:lang w:val="en-GB"/>
        </w:rPr>
        <w:t xml:space="preserve"> </w:t>
      </w:r>
      <w:r w:rsidR="00822E76">
        <w:rPr>
          <w:lang w:val="en-GB"/>
        </w:rPr>
        <w:t xml:space="preserve">under unreactive conditions caused </w:t>
      </w:r>
      <w:r w:rsidR="00C441A2">
        <w:rPr>
          <w:lang w:val="en-GB"/>
        </w:rPr>
        <w:t>only</w:t>
      </w:r>
      <w:r w:rsidR="00C441A2" w:rsidRPr="00533C59">
        <w:rPr>
          <w:lang w:val="en-GB"/>
        </w:rPr>
        <w:t xml:space="preserve"> </w:t>
      </w:r>
      <w:r w:rsidR="007B14A7" w:rsidRPr="00533C59">
        <w:rPr>
          <w:lang w:val="en-GB"/>
        </w:rPr>
        <w:t xml:space="preserve">by the </w:t>
      </w:r>
      <w:r w:rsidR="00C441A2">
        <w:rPr>
          <w:lang w:val="en-GB"/>
        </w:rPr>
        <w:t>change of temperature</w:t>
      </w:r>
      <w:r w:rsidR="007B14A7" w:rsidRPr="00533C59">
        <w:rPr>
          <w:lang w:val="en-GB"/>
        </w:rPr>
        <w:t xml:space="preserve">. </w:t>
      </w:r>
      <w:r w:rsidR="00385F2B">
        <w:rPr>
          <w:lang w:val="en-GB"/>
        </w:rPr>
        <w:t>It is very likely that t</w:t>
      </w:r>
      <w:r w:rsidR="007B14A7" w:rsidRPr="00533C59">
        <w:rPr>
          <w:lang w:val="en-GB"/>
        </w:rPr>
        <w:t xml:space="preserve">his increase </w:t>
      </w:r>
      <w:r w:rsidR="00385F2B">
        <w:rPr>
          <w:lang w:val="en-GB"/>
        </w:rPr>
        <w:t xml:space="preserve">is </w:t>
      </w:r>
      <w:r w:rsidR="007B14A7" w:rsidRPr="00533C59">
        <w:rPr>
          <w:lang w:val="en-GB"/>
        </w:rPr>
        <w:t xml:space="preserve">associated with the onset of biomass decomposition reactions leading to the formation of gaseous products. </w:t>
      </w:r>
      <w:r w:rsidR="00645CFF">
        <w:rPr>
          <w:lang w:val="en-GB"/>
        </w:rPr>
        <w:t>This evidence confirms, as it is also reporte</w:t>
      </w:r>
      <w:r w:rsidR="00E72536">
        <w:rPr>
          <w:lang w:val="en-GB"/>
        </w:rPr>
        <w:t>d in literature on</w:t>
      </w:r>
      <w:r w:rsidR="00645CFF">
        <w:rPr>
          <w:lang w:val="en-GB"/>
        </w:rPr>
        <w:t xml:space="preserve"> HTL, that at lower temperatures </w:t>
      </w:r>
      <w:r w:rsidR="00E72536">
        <w:rPr>
          <w:lang w:val="en-GB"/>
        </w:rPr>
        <w:t xml:space="preserve">the biomass </w:t>
      </w:r>
      <w:r w:rsidR="00645CFF">
        <w:rPr>
          <w:lang w:val="en-GB"/>
        </w:rPr>
        <w:t xml:space="preserve">fragments producing </w:t>
      </w:r>
      <w:r w:rsidR="00E72536">
        <w:rPr>
          <w:lang w:val="en-GB"/>
        </w:rPr>
        <w:t xml:space="preserve">intermediate </w:t>
      </w:r>
      <w:r w:rsidR="00645CFF">
        <w:rPr>
          <w:lang w:val="en-GB"/>
        </w:rPr>
        <w:t xml:space="preserve">compounds </w:t>
      </w:r>
      <w:r w:rsidR="00E72536">
        <w:rPr>
          <w:lang w:val="en-GB"/>
        </w:rPr>
        <w:t xml:space="preserve">prone to the formation of bio-oil, whereas at higher temperature </w:t>
      </w:r>
      <w:r w:rsidR="00E72536" w:rsidRPr="00533C59">
        <w:rPr>
          <w:lang w:val="en-GB"/>
        </w:rPr>
        <w:t>s</w:t>
      </w:r>
      <w:r w:rsidR="00E72536">
        <w:rPr>
          <w:lang w:val="en-GB"/>
        </w:rPr>
        <w:t xml:space="preserve">econdary decomposition reactions and the </w:t>
      </w:r>
      <w:proofErr w:type="spellStart"/>
      <w:r w:rsidR="00E72536" w:rsidRPr="00385F2B">
        <w:rPr>
          <w:lang w:val="en-GB"/>
        </w:rPr>
        <w:t>Boudouard</w:t>
      </w:r>
      <w:proofErr w:type="spellEnd"/>
      <w:r w:rsidR="00E72536" w:rsidRPr="00385F2B">
        <w:rPr>
          <w:lang w:val="en-GB"/>
        </w:rPr>
        <w:t xml:space="preserve"> </w:t>
      </w:r>
      <w:r w:rsidR="00E72536">
        <w:rPr>
          <w:lang w:val="en-GB"/>
        </w:rPr>
        <w:t xml:space="preserve">reaction </w:t>
      </w:r>
      <w:r w:rsidR="008D5470">
        <w:rPr>
          <w:lang w:val="en-GB"/>
        </w:rPr>
        <w:t xml:space="preserve">starts </w:t>
      </w:r>
      <w:r w:rsidR="00E72536">
        <w:rPr>
          <w:lang w:val="en-GB"/>
        </w:rPr>
        <w:t>to take place promoting</w:t>
      </w:r>
      <w:r w:rsidR="00E72536" w:rsidRPr="00533C59">
        <w:rPr>
          <w:lang w:val="en-GB"/>
        </w:rPr>
        <w:t xml:space="preserve"> the formation </w:t>
      </w:r>
      <w:r w:rsidR="00E72536">
        <w:rPr>
          <w:lang w:val="en-GB"/>
        </w:rPr>
        <w:t xml:space="preserve">of </w:t>
      </w:r>
      <w:r w:rsidR="00E72536" w:rsidRPr="00533C59">
        <w:rPr>
          <w:lang w:val="en-GB"/>
        </w:rPr>
        <w:t>gaseous species</w:t>
      </w:r>
      <w:r w:rsidR="00E72536">
        <w:rPr>
          <w:lang w:val="en-GB"/>
        </w:rPr>
        <w:t xml:space="preserve"> </w:t>
      </w:r>
      <w:r w:rsidR="007B14A7" w:rsidRPr="00533C59">
        <w:rPr>
          <w:lang w:val="en-GB"/>
        </w:rPr>
        <w:t>(Akhtar and Amin, 2011).</w:t>
      </w:r>
    </w:p>
    <w:p w14:paraId="0688CCCC" w14:textId="77777777" w:rsidR="007B14A7" w:rsidRDefault="007B14A7" w:rsidP="007B14A7">
      <w:pPr>
        <w:pStyle w:val="CETBodytext"/>
      </w:pPr>
      <w:r>
        <w:rPr>
          <w:noProof/>
        </w:rPr>
        <w:drawing>
          <wp:inline distT="0" distB="0" distL="0" distR="0" wp14:anchorId="385FFD36" wp14:editId="691726BE">
            <wp:extent cx="3846678" cy="2304000"/>
            <wp:effectExtent l="0" t="0" r="1905" b="127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" t="5143" r="1072" b="3234"/>
                    <a:stretch/>
                  </pic:blipFill>
                  <pic:spPr bwMode="auto">
                    <a:xfrm>
                      <a:off x="0" y="0"/>
                      <a:ext cx="3846678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555F9" w14:textId="77777777" w:rsidR="007B14A7" w:rsidRPr="00B01148" w:rsidRDefault="007B14A7" w:rsidP="001A58EF">
      <w:pPr>
        <w:pStyle w:val="CETBodytext"/>
        <w:spacing w:after="120"/>
        <w:rPr>
          <w:i/>
        </w:rPr>
      </w:pPr>
      <w:r w:rsidRPr="00B837D6">
        <w:rPr>
          <w:i/>
        </w:rPr>
        <w:t xml:space="preserve">Figure </w:t>
      </w:r>
      <w:r>
        <w:rPr>
          <w:i/>
        </w:rPr>
        <w:t>4</w:t>
      </w:r>
      <w:r w:rsidRPr="00B01148">
        <w:rPr>
          <w:i/>
        </w:rPr>
        <w:t xml:space="preserve">: </w:t>
      </w:r>
      <w:r>
        <w:rPr>
          <w:i/>
        </w:rPr>
        <w:t>E</w:t>
      </w:r>
      <w:r w:rsidRPr="00B01148">
        <w:rPr>
          <w:i/>
        </w:rPr>
        <w:t>volution of pressure as a function of temperature</w:t>
      </w:r>
      <w:r>
        <w:rPr>
          <w:i/>
        </w:rPr>
        <w:t xml:space="preserve">, for the upgraded system during municipal sludge HTL test. </w:t>
      </w:r>
    </w:p>
    <w:p w14:paraId="10A46133" w14:textId="6A86AFD8" w:rsidR="00517017" w:rsidRDefault="008D5470" w:rsidP="00517017">
      <w:pPr>
        <w:pStyle w:val="CETBodytext"/>
        <w:rPr>
          <w:lang w:val="en-GB"/>
        </w:rPr>
      </w:pPr>
      <w:r>
        <w:rPr>
          <w:lang w:val="en-GB"/>
        </w:rPr>
        <w:t xml:space="preserve">Results of the HTL </w:t>
      </w:r>
      <w:r w:rsidR="005D6EA2">
        <w:rPr>
          <w:lang w:val="en-GB"/>
        </w:rPr>
        <w:t>runs</w:t>
      </w:r>
      <w:r>
        <w:rPr>
          <w:lang w:val="en-GB"/>
        </w:rPr>
        <w:t xml:space="preserve"> show</w:t>
      </w:r>
      <w:r w:rsidR="00703722">
        <w:rPr>
          <w:lang w:val="en-GB"/>
        </w:rPr>
        <w:t>ed</w:t>
      </w:r>
      <w:r>
        <w:rPr>
          <w:lang w:val="en-GB"/>
        </w:rPr>
        <w:t xml:space="preserve"> that </w:t>
      </w:r>
      <w:proofErr w:type="spellStart"/>
      <w:r>
        <w:rPr>
          <w:i/>
          <w:lang w:val="en-GB"/>
        </w:rPr>
        <w:t>Y</w:t>
      </w:r>
      <w:r w:rsidR="00A0120A">
        <w:rPr>
          <w:i/>
          <w:vertAlign w:val="subscript"/>
          <w:lang w:val="en-GB"/>
        </w:rPr>
        <w:t>B</w:t>
      </w:r>
      <w:r w:rsidRPr="001B7C9E">
        <w:rPr>
          <w:i/>
          <w:vertAlign w:val="subscript"/>
          <w:lang w:val="en-GB"/>
        </w:rPr>
        <w:t>io</w:t>
      </w:r>
      <w:proofErr w:type="spellEnd"/>
      <w:r w:rsidRPr="001B7C9E">
        <w:rPr>
          <w:i/>
          <w:vertAlign w:val="subscript"/>
          <w:lang w:val="en-GB"/>
        </w:rPr>
        <w:t>-crude</w:t>
      </w:r>
      <w:r>
        <w:rPr>
          <w:i/>
          <w:lang w:val="en-GB"/>
        </w:rPr>
        <w:t xml:space="preserve"> </w:t>
      </w:r>
      <w:r>
        <w:rPr>
          <w:iCs/>
          <w:lang w:val="en-GB"/>
        </w:rPr>
        <w:t>is 38.3% at 350 °C, a value approximately 10% greater than the figure obtained at the lower tested temperature (equal to 27.9%)</w:t>
      </w:r>
      <w:r w:rsidR="00F24865">
        <w:rPr>
          <w:iCs/>
          <w:lang w:val="en-GB"/>
        </w:rPr>
        <w:t xml:space="preserve">, thus testifying that the rise of temperature is beneficial in promoting the reaction pathways leading to the desired decomposition of organic molecules to produce the target </w:t>
      </w:r>
      <w:r w:rsidR="00F24865" w:rsidRPr="00703722">
        <w:rPr>
          <w:iCs/>
        </w:rPr>
        <w:t>bio-</w:t>
      </w:r>
      <w:r w:rsidR="00550A07">
        <w:rPr>
          <w:iCs/>
          <w:lang w:val="en-GB"/>
        </w:rPr>
        <w:t>crude</w:t>
      </w:r>
      <w:r w:rsidRPr="00703722">
        <w:rPr>
          <w:iCs/>
        </w:rPr>
        <w:t>.</w:t>
      </w:r>
      <w:r w:rsidR="00703722" w:rsidRPr="00703722">
        <w:rPr>
          <w:iCs/>
        </w:rPr>
        <w:t xml:space="preserve"> </w:t>
      </w:r>
      <w:r w:rsidR="00703722" w:rsidRPr="001A58EF">
        <w:t xml:space="preserve">These values for bio-crude fall within the range of values </w:t>
      </w:r>
      <w:r w:rsidR="00A90F8D">
        <w:t>(at 300</w:t>
      </w:r>
      <w:r w:rsidR="00FF4BB0">
        <w:t xml:space="preserve"> </w:t>
      </w:r>
      <w:r w:rsidR="00A90F8D">
        <w:t>°C 22</w:t>
      </w:r>
      <w:r w:rsidR="005A0BBD">
        <w:t>–</w:t>
      </w:r>
      <w:r w:rsidR="00A90F8D">
        <w:t>28%; at 350</w:t>
      </w:r>
      <w:r w:rsidR="00FF4BB0">
        <w:t xml:space="preserve"> </w:t>
      </w:r>
      <w:r w:rsidR="00A90F8D">
        <w:t>°C 22</w:t>
      </w:r>
      <w:r w:rsidR="005A0BBD">
        <w:t>–</w:t>
      </w:r>
      <w:r w:rsidR="00A90F8D">
        <w:t>53% for 20</w:t>
      </w:r>
      <w:r w:rsidR="005A0BBD">
        <w:t>–3</w:t>
      </w:r>
      <w:r w:rsidR="00A90F8D">
        <w:t xml:space="preserve">0min reaction time) </w:t>
      </w:r>
      <w:r w:rsidR="00703722" w:rsidRPr="001A58EF">
        <w:t>reported in literature for HTL from sludge</w:t>
      </w:r>
      <w:r w:rsidR="002E4DB2">
        <w:t xml:space="preserve"> (</w:t>
      </w:r>
      <w:proofErr w:type="spellStart"/>
      <w:r w:rsidR="002E4DB2">
        <w:t>Basar</w:t>
      </w:r>
      <w:proofErr w:type="spellEnd"/>
      <w:r w:rsidR="002E4DB2">
        <w:t xml:space="preserve"> et al., 2021</w:t>
      </w:r>
      <w:r w:rsidR="00A90F8D">
        <w:t>)</w:t>
      </w:r>
      <w:r w:rsidR="00FC56DD">
        <w:rPr>
          <w:iCs/>
          <w:lang w:val="en-GB"/>
        </w:rPr>
        <w:t xml:space="preserve">. </w:t>
      </w:r>
      <w:r w:rsidR="00F24865">
        <w:rPr>
          <w:iCs/>
          <w:lang w:val="en-GB"/>
        </w:rPr>
        <w:t xml:space="preserve">Conversely, the increase of the HTL process temperature produces a reduction of </w:t>
      </w:r>
      <w:proofErr w:type="spellStart"/>
      <w:r w:rsidR="00A0120A" w:rsidRPr="001A58EF">
        <w:rPr>
          <w:i/>
        </w:rPr>
        <w:t>Y</w:t>
      </w:r>
      <w:r w:rsidR="00A0120A" w:rsidRPr="001A58EF">
        <w:rPr>
          <w:i/>
          <w:vertAlign w:val="subscript"/>
        </w:rPr>
        <w:t>Solid</w:t>
      </w:r>
      <w:proofErr w:type="spellEnd"/>
      <w:r w:rsidR="00F24865">
        <w:rPr>
          <w:iCs/>
          <w:lang w:val="en-GB"/>
        </w:rPr>
        <w:t xml:space="preserve"> that is 33.6% and 25.9% at 300 and 350 °C, respectively.</w:t>
      </w:r>
      <w:r w:rsidR="00703722">
        <w:rPr>
          <w:iCs/>
          <w:lang w:val="en-GB"/>
        </w:rPr>
        <w:t xml:space="preserve"> </w:t>
      </w:r>
      <w:r w:rsidR="00703722" w:rsidRPr="00703722">
        <w:rPr>
          <w:iCs/>
          <w:lang w:val="en-GB"/>
        </w:rPr>
        <w:t xml:space="preserve">In this context, it </w:t>
      </w:r>
      <w:r w:rsidR="00703722">
        <w:rPr>
          <w:iCs/>
          <w:lang w:val="en-GB"/>
        </w:rPr>
        <w:t xml:space="preserve">is highlighted that the inorganic fraction of the parent biomass, the char deriving from the HTL process and the unconverted organic matrix of the sludge all contribute to </w:t>
      </w:r>
      <m:oMath>
        <m:sSub>
          <m:sSubPr>
            <m:ctrlPr>
              <w:rPr>
                <w:rFonts w:ascii="Cambria Math" w:hAnsi="Cambria Math" w:cs="Arial"/>
                <w:i/>
                <w:lang w:val="en-GB"/>
              </w:rPr>
            </m:ctrlPr>
          </m:sSubPr>
          <m:e>
            <m:r>
              <w:rPr>
                <w:rFonts w:ascii="Cambria Math" w:hAnsi="Cambria Math" w:cs="Arial"/>
                <w:lang w:val="en-GB"/>
              </w:rPr>
              <m:t>Y</m:t>
            </m:r>
          </m:e>
          <m:sub>
            <m:r>
              <w:rPr>
                <w:rFonts w:ascii="Cambria Math" w:hAnsi="Cambria Math" w:cs="Arial"/>
                <w:lang w:val="en-GB"/>
              </w:rPr>
              <m:t>Solid</m:t>
            </m:r>
          </m:sub>
        </m:sSub>
      </m:oMath>
      <w:r w:rsidR="00703722">
        <w:rPr>
          <w:lang w:val="en-GB"/>
        </w:rPr>
        <w:t>.</w:t>
      </w:r>
      <w:r w:rsidR="00703722">
        <w:rPr>
          <w:iCs/>
          <w:lang w:val="en-GB"/>
        </w:rPr>
        <w:t xml:space="preserve"> </w:t>
      </w:r>
      <w:r w:rsidR="009225F6">
        <w:rPr>
          <w:iCs/>
          <w:lang w:val="en-GB"/>
        </w:rPr>
        <w:t>These values are relatively near</w:t>
      </w:r>
      <w:r w:rsidR="005D32AF">
        <w:rPr>
          <w:iCs/>
          <w:lang w:val="en-GB"/>
        </w:rPr>
        <w:t>by</w:t>
      </w:r>
      <w:r w:rsidR="009225F6">
        <w:rPr>
          <w:iCs/>
          <w:lang w:val="en-GB"/>
        </w:rPr>
        <w:t xml:space="preserve"> the ash yield on dry basis</w:t>
      </w:r>
      <w:r w:rsidR="005D32AF">
        <w:rPr>
          <w:iCs/>
          <w:lang w:val="en-GB"/>
        </w:rPr>
        <w:t xml:space="preserve"> (24.1%),</w:t>
      </w:r>
      <w:r w:rsidR="009225F6">
        <w:rPr>
          <w:iCs/>
          <w:lang w:val="en-GB"/>
        </w:rPr>
        <w:t xml:space="preserve"> which can be calculate</w:t>
      </w:r>
      <w:r w:rsidR="005D32AF">
        <w:rPr>
          <w:iCs/>
          <w:lang w:val="en-GB"/>
        </w:rPr>
        <w:t>d by</w:t>
      </w:r>
      <w:r w:rsidR="009225F6">
        <w:rPr>
          <w:iCs/>
          <w:lang w:val="en-GB"/>
        </w:rPr>
        <w:t xml:space="preserve"> proximate analysis. This indicates that probably the </w:t>
      </w:r>
      <w:r w:rsidR="003B2EEE">
        <w:rPr>
          <w:iCs/>
          <w:lang w:val="en-GB"/>
        </w:rPr>
        <w:t xml:space="preserve">mean </w:t>
      </w:r>
      <w:r w:rsidR="009225F6">
        <w:rPr>
          <w:iCs/>
          <w:lang w:val="en-GB"/>
        </w:rPr>
        <w:t xml:space="preserve">heating </w:t>
      </w:r>
      <w:r w:rsidR="003B2EEE">
        <w:rPr>
          <w:iCs/>
          <w:lang w:val="en-GB"/>
        </w:rPr>
        <w:t xml:space="preserve">and cooling </w:t>
      </w:r>
      <w:r w:rsidR="009225F6">
        <w:rPr>
          <w:iCs/>
          <w:lang w:val="en-GB"/>
        </w:rPr>
        <w:t>rate</w:t>
      </w:r>
      <w:r w:rsidR="00FC56DD">
        <w:rPr>
          <w:iCs/>
          <w:lang w:val="en-GB"/>
        </w:rPr>
        <w:t>s</w:t>
      </w:r>
      <w:r w:rsidR="009225F6">
        <w:rPr>
          <w:iCs/>
          <w:lang w:val="en-GB"/>
        </w:rPr>
        <w:t xml:space="preserve"> obtained with the upgraded system </w:t>
      </w:r>
      <w:r w:rsidR="003B2EEE">
        <w:rPr>
          <w:iCs/>
          <w:lang w:val="en-GB"/>
        </w:rPr>
        <w:t>are</w:t>
      </w:r>
      <w:r w:rsidR="005D32AF">
        <w:rPr>
          <w:iCs/>
          <w:lang w:val="en-GB"/>
        </w:rPr>
        <w:t xml:space="preserve"> sufficient</w:t>
      </w:r>
      <w:r w:rsidR="00FC56DD">
        <w:rPr>
          <w:iCs/>
          <w:lang w:val="en-GB"/>
        </w:rPr>
        <w:t>ly fast</w:t>
      </w:r>
      <w:r w:rsidR="005D32AF">
        <w:rPr>
          <w:iCs/>
          <w:lang w:val="en-GB"/>
        </w:rPr>
        <w:t xml:space="preserve"> to limit the course of the undesired reactions leading to biochar formation</w:t>
      </w:r>
      <w:r w:rsidR="00867D3E">
        <w:rPr>
          <w:iCs/>
          <w:lang w:val="en-GB"/>
        </w:rPr>
        <w:t xml:space="preserve"> and the fraction of the unconverted biomass</w:t>
      </w:r>
      <w:r w:rsidR="005D32AF">
        <w:rPr>
          <w:iCs/>
          <w:lang w:val="en-GB"/>
        </w:rPr>
        <w:t xml:space="preserve">. </w:t>
      </w:r>
      <w:r w:rsidR="00517017" w:rsidRPr="00D77033">
        <w:rPr>
          <w:lang w:val="en-GB"/>
        </w:rPr>
        <w:t xml:space="preserve">Further investigations </w:t>
      </w:r>
      <w:r w:rsidR="009B5B2F" w:rsidRPr="00D77033">
        <w:rPr>
          <w:lang w:val="en-GB"/>
        </w:rPr>
        <w:t xml:space="preserve">will </w:t>
      </w:r>
      <w:r w:rsidR="00517017" w:rsidRPr="00D77033">
        <w:rPr>
          <w:lang w:val="en-GB"/>
        </w:rPr>
        <w:t>be carried out under different conditions</w:t>
      </w:r>
      <w:r w:rsidR="00517017" w:rsidRPr="00517017">
        <w:rPr>
          <w:lang w:val="en-GB"/>
        </w:rPr>
        <w:t xml:space="preserve"> of </w:t>
      </w:r>
      <w:r w:rsidR="00504213">
        <w:rPr>
          <w:lang w:val="en-GB"/>
        </w:rPr>
        <w:t xml:space="preserve">reaction </w:t>
      </w:r>
      <w:r w:rsidR="00517017" w:rsidRPr="00517017">
        <w:rPr>
          <w:lang w:val="en-GB"/>
        </w:rPr>
        <w:t>time</w:t>
      </w:r>
      <w:r w:rsidR="005D32AF">
        <w:rPr>
          <w:lang w:val="en-GB"/>
        </w:rPr>
        <w:t>, heating rate</w:t>
      </w:r>
      <w:r w:rsidR="00517017" w:rsidRPr="00517017">
        <w:rPr>
          <w:lang w:val="en-GB"/>
        </w:rPr>
        <w:t xml:space="preserve"> and temperature to verify the effect o</w:t>
      </w:r>
      <w:r w:rsidR="00517017">
        <w:rPr>
          <w:lang w:val="en-GB"/>
        </w:rPr>
        <w:t xml:space="preserve">f these variables on </w:t>
      </w:r>
      <w:proofErr w:type="spellStart"/>
      <w:r w:rsidR="00A0120A">
        <w:rPr>
          <w:i/>
          <w:lang w:val="en-GB"/>
        </w:rPr>
        <w:t>Y</w:t>
      </w:r>
      <w:r w:rsidR="00A0120A">
        <w:rPr>
          <w:i/>
          <w:vertAlign w:val="subscript"/>
          <w:lang w:val="en-GB"/>
        </w:rPr>
        <w:t>B</w:t>
      </w:r>
      <w:r w:rsidR="00A0120A" w:rsidRPr="001B7C9E">
        <w:rPr>
          <w:i/>
          <w:vertAlign w:val="subscript"/>
          <w:lang w:val="en-GB"/>
        </w:rPr>
        <w:t>io</w:t>
      </w:r>
      <w:proofErr w:type="spellEnd"/>
      <w:r w:rsidR="0052232B" w:rsidRPr="001B7C9E">
        <w:rPr>
          <w:i/>
          <w:vertAlign w:val="subscript"/>
          <w:lang w:val="en-GB"/>
        </w:rPr>
        <w:t>-crude</w:t>
      </w:r>
      <w:r w:rsidR="00517017" w:rsidRPr="00517017">
        <w:rPr>
          <w:lang w:val="en-GB"/>
        </w:rPr>
        <w:t>.</w:t>
      </w:r>
    </w:p>
    <w:p w14:paraId="68D26B83" w14:textId="77777777" w:rsidR="00600535" w:rsidRPr="001B7C9E" w:rsidRDefault="00600535" w:rsidP="00600535">
      <w:pPr>
        <w:pStyle w:val="CETHeading1"/>
        <w:rPr>
          <w:lang w:val="en-GB"/>
        </w:rPr>
      </w:pPr>
      <w:r w:rsidRPr="001B7C9E">
        <w:rPr>
          <w:lang w:val="en-GB"/>
        </w:rPr>
        <w:lastRenderedPageBreak/>
        <w:t>Conclusions</w:t>
      </w:r>
    </w:p>
    <w:p w14:paraId="52DAFDE0" w14:textId="771ED93A" w:rsidR="001D0CFB" w:rsidRPr="001B7C9E" w:rsidRDefault="0019547A" w:rsidP="00581087">
      <w:pPr>
        <w:pStyle w:val="CETBodytext"/>
        <w:rPr>
          <w:lang w:val="en-GB"/>
        </w:rPr>
      </w:pPr>
      <w:r>
        <w:rPr>
          <w:lang w:val="en-GB"/>
        </w:rPr>
        <w:t>In this work</w:t>
      </w:r>
      <w:r w:rsidR="00B6682C">
        <w:rPr>
          <w:lang w:val="en-GB"/>
        </w:rPr>
        <w:t>,</w:t>
      </w:r>
      <w:r>
        <w:rPr>
          <w:lang w:val="en-GB"/>
        </w:rPr>
        <w:t xml:space="preserve"> </w:t>
      </w:r>
      <w:r w:rsidRPr="0019547A">
        <w:rPr>
          <w:lang w:val="en-GB"/>
        </w:rPr>
        <w:t xml:space="preserve">a </w:t>
      </w:r>
      <w:r w:rsidR="00B9137C">
        <w:rPr>
          <w:lang w:val="en-GB"/>
        </w:rPr>
        <w:t>500</w:t>
      </w:r>
      <w:r w:rsidR="00FF4BB0">
        <w:rPr>
          <w:lang w:val="en-GB"/>
        </w:rPr>
        <w:t xml:space="preserve"> </w:t>
      </w:r>
      <w:r w:rsidR="00B9137C">
        <w:rPr>
          <w:lang w:val="en-GB"/>
        </w:rPr>
        <w:t xml:space="preserve">mL </w:t>
      </w:r>
      <w:r w:rsidRPr="0019547A">
        <w:rPr>
          <w:lang w:val="en-GB"/>
        </w:rPr>
        <w:t xml:space="preserve">lab-scale </w:t>
      </w:r>
      <w:r w:rsidR="00B9137C">
        <w:rPr>
          <w:lang w:val="en-GB"/>
        </w:rPr>
        <w:t xml:space="preserve">batch </w:t>
      </w:r>
      <w:r w:rsidRPr="0019547A">
        <w:rPr>
          <w:lang w:val="en-GB"/>
        </w:rPr>
        <w:t xml:space="preserve">plant </w:t>
      </w:r>
      <w:r w:rsidR="009B5B2F">
        <w:rPr>
          <w:lang w:val="en-GB"/>
        </w:rPr>
        <w:t xml:space="preserve">devoted to HTL tests </w:t>
      </w:r>
      <w:r w:rsidRPr="0019547A">
        <w:rPr>
          <w:lang w:val="en-GB"/>
        </w:rPr>
        <w:t xml:space="preserve">was optimised </w:t>
      </w:r>
      <w:r w:rsidR="00900553" w:rsidRPr="0019547A">
        <w:rPr>
          <w:lang w:val="en-GB"/>
        </w:rPr>
        <w:t>to</w:t>
      </w:r>
      <w:r w:rsidRPr="0019547A">
        <w:rPr>
          <w:lang w:val="en-GB"/>
        </w:rPr>
        <w:t xml:space="preserve"> </w:t>
      </w:r>
      <w:r w:rsidR="00B6682C" w:rsidRPr="0019547A">
        <w:rPr>
          <w:lang w:val="en-GB"/>
        </w:rPr>
        <w:t>minimi</w:t>
      </w:r>
      <w:r w:rsidR="00B6682C">
        <w:rPr>
          <w:lang w:val="en-GB"/>
        </w:rPr>
        <w:t>s</w:t>
      </w:r>
      <w:r w:rsidR="00B6682C" w:rsidRPr="0019547A">
        <w:rPr>
          <w:lang w:val="en-GB"/>
        </w:rPr>
        <w:t xml:space="preserve">e </w:t>
      </w:r>
      <w:r w:rsidRPr="0019547A">
        <w:rPr>
          <w:lang w:val="en-GB"/>
        </w:rPr>
        <w:t>thermal transients that could lead to the formation of undesirable prod</w:t>
      </w:r>
      <w:r w:rsidR="0040376C">
        <w:rPr>
          <w:lang w:val="en-GB"/>
        </w:rPr>
        <w:t>ucts</w:t>
      </w:r>
      <w:r w:rsidR="009B5B2F">
        <w:rPr>
          <w:lang w:val="en-GB"/>
        </w:rPr>
        <w:t xml:space="preserve"> along the hydrothermal conversion process</w:t>
      </w:r>
      <w:r w:rsidR="0040376C">
        <w:rPr>
          <w:lang w:val="en-GB"/>
        </w:rPr>
        <w:t>. A</w:t>
      </w:r>
      <w:r w:rsidR="0040376C" w:rsidRPr="0040376C">
        <w:rPr>
          <w:lang w:val="en-GB"/>
        </w:rPr>
        <w:t xml:space="preserve"> significant </w:t>
      </w:r>
      <w:r w:rsidR="009B5B2F">
        <w:rPr>
          <w:lang w:val="en-GB"/>
        </w:rPr>
        <w:t>reduction</w:t>
      </w:r>
      <w:r w:rsidR="009B5B2F" w:rsidRPr="0040376C">
        <w:rPr>
          <w:lang w:val="en-GB"/>
        </w:rPr>
        <w:t xml:space="preserve"> </w:t>
      </w:r>
      <w:r w:rsidR="0040376C" w:rsidRPr="0040376C">
        <w:rPr>
          <w:lang w:val="en-GB"/>
        </w:rPr>
        <w:t xml:space="preserve">of the thermal </w:t>
      </w:r>
      <w:r w:rsidR="009B5B2F" w:rsidRPr="0040376C">
        <w:rPr>
          <w:lang w:val="en-GB"/>
        </w:rPr>
        <w:t>transi</w:t>
      </w:r>
      <w:r w:rsidR="009B5B2F">
        <w:rPr>
          <w:lang w:val="en-GB"/>
        </w:rPr>
        <w:t>ent</w:t>
      </w:r>
      <w:r w:rsidR="009B5B2F" w:rsidRPr="0040376C">
        <w:rPr>
          <w:lang w:val="en-GB"/>
        </w:rPr>
        <w:t xml:space="preserve"> </w:t>
      </w:r>
      <w:r w:rsidR="009B5B2F">
        <w:rPr>
          <w:lang w:val="en-GB"/>
        </w:rPr>
        <w:t>was attained</w:t>
      </w:r>
      <w:r w:rsidR="0040376C" w:rsidRPr="0040376C">
        <w:rPr>
          <w:lang w:val="en-GB"/>
        </w:rPr>
        <w:t xml:space="preserve"> with the use of a </w:t>
      </w:r>
      <w:r w:rsidR="00900553" w:rsidRPr="0040376C">
        <w:rPr>
          <w:lang w:val="en-GB"/>
        </w:rPr>
        <w:t>1000</w:t>
      </w:r>
      <w:r w:rsidR="009B5B2F">
        <w:rPr>
          <w:lang w:val="en-GB"/>
        </w:rPr>
        <w:t xml:space="preserve"> </w:t>
      </w:r>
      <w:r w:rsidR="00900553" w:rsidRPr="0040376C">
        <w:rPr>
          <w:lang w:val="en-GB"/>
        </w:rPr>
        <w:t>W</w:t>
      </w:r>
      <w:r w:rsidR="0040376C" w:rsidRPr="0040376C">
        <w:rPr>
          <w:lang w:val="en-GB"/>
        </w:rPr>
        <w:t xml:space="preserve"> heating plate </w:t>
      </w:r>
      <w:r w:rsidR="0023108E">
        <w:rPr>
          <w:lang w:val="en-GB"/>
        </w:rPr>
        <w:t xml:space="preserve">placed </w:t>
      </w:r>
      <w:r w:rsidR="0040376C" w:rsidRPr="0040376C">
        <w:rPr>
          <w:lang w:val="en-GB"/>
        </w:rPr>
        <w:t>at the bottom of the vessel</w:t>
      </w:r>
      <w:r w:rsidR="00B6682C">
        <w:rPr>
          <w:lang w:val="en-GB"/>
        </w:rPr>
        <w:t>,</w:t>
      </w:r>
      <w:r w:rsidR="0040376C" w:rsidRPr="0040376C">
        <w:rPr>
          <w:lang w:val="en-GB"/>
        </w:rPr>
        <w:t xml:space="preserve"> and by thermally insulating the top of the reactor with a layer of rock wool, with the total heating time being practically halved with respect to the base system</w:t>
      </w:r>
      <w:r w:rsidR="00E273DB">
        <w:rPr>
          <w:lang w:val="en-GB"/>
        </w:rPr>
        <w:t xml:space="preserve"> (mean heating rate of 8</w:t>
      </w:r>
      <w:r w:rsidR="00FF4BB0">
        <w:rPr>
          <w:lang w:val="en-GB"/>
        </w:rPr>
        <w:t xml:space="preserve"> </w:t>
      </w:r>
      <w:r w:rsidR="00E273DB">
        <w:rPr>
          <w:lang w:val="en-GB"/>
        </w:rPr>
        <w:t>°C/min)</w:t>
      </w:r>
      <w:r w:rsidR="0040376C">
        <w:rPr>
          <w:lang w:val="en-GB"/>
        </w:rPr>
        <w:t xml:space="preserve">. </w:t>
      </w:r>
      <w:r w:rsidR="00106C8D" w:rsidRPr="00106C8D">
        <w:rPr>
          <w:lang w:val="en-GB"/>
        </w:rPr>
        <w:t>For both systems, the cooling stage is very fast and in the order of 5 min</w:t>
      </w:r>
      <w:r w:rsidR="00E273DB">
        <w:rPr>
          <w:lang w:val="en-GB"/>
        </w:rPr>
        <w:t xml:space="preserve"> (mean cooling rate of 30</w:t>
      </w:r>
      <w:r w:rsidR="00FF4BB0">
        <w:rPr>
          <w:lang w:val="en-GB"/>
        </w:rPr>
        <w:t xml:space="preserve"> </w:t>
      </w:r>
      <w:r w:rsidR="00E273DB">
        <w:rPr>
          <w:lang w:val="en-GB"/>
        </w:rPr>
        <w:t>°C/min)</w:t>
      </w:r>
      <w:r w:rsidR="00106C8D" w:rsidRPr="00106C8D">
        <w:rPr>
          <w:lang w:val="en-GB"/>
        </w:rPr>
        <w:t>.</w:t>
      </w:r>
      <w:r w:rsidR="0040376C">
        <w:rPr>
          <w:lang w:val="en-GB"/>
        </w:rPr>
        <w:t xml:space="preserve"> </w:t>
      </w:r>
      <w:r w:rsidR="00581087" w:rsidRPr="00581087">
        <w:rPr>
          <w:lang w:val="en-GB"/>
        </w:rPr>
        <w:t xml:space="preserve">After the setup and </w:t>
      </w:r>
      <w:r w:rsidR="00B6682C" w:rsidRPr="00581087">
        <w:rPr>
          <w:lang w:val="en-GB"/>
        </w:rPr>
        <w:t>optimi</w:t>
      </w:r>
      <w:r w:rsidR="00B6682C">
        <w:rPr>
          <w:lang w:val="en-GB"/>
        </w:rPr>
        <w:t>s</w:t>
      </w:r>
      <w:r w:rsidR="00B6682C" w:rsidRPr="00581087">
        <w:rPr>
          <w:lang w:val="en-GB"/>
        </w:rPr>
        <w:t xml:space="preserve">ation </w:t>
      </w:r>
      <w:r w:rsidR="00581087" w:rsidRPr="00581087">
        <w:rPr>
          <w:lang w:val="en-GB"/>
        </w:rPr>
        <w:t>of the experimental apparatus, preliminary test</w:t>
      </w:r>
      <w:r w:rsidR="00550A07">
        <w:rPr>
          <w:lang w:val="en-GB"/>
        </w:rPr>
        <w:t>s</w:t>
      </w:r>
      <w:r w:rsidR="00581087" w:rsidRPr="00581087">
        <w:rPr>
          <w:lang w:val="en-GB"/>
        </w:rPr>
        <w:t xml:space="preserve"> of HTL </w:t>
      </w:r>
      <w:r w:rsidR="00550A07" w:rsidRPr="00581087">
        <w:rPr>
          <w:lang w:val="en-GB"/>
        </w:rPr>
        <w:t>w</w:t>
      </w:r>
      <w:r w:rsidR="00550A07">
        <w:rPr>
          <w:lang w:val="en-GB"/>
        </w:rPr>
        <w:t>ere</w:t>
      </w:r>
      <w:r w:rsidR="00550A07" w:rsidRPr="00581087">
        <w:rPr>
          <w:lang w:val="en-GB"/>
        </w:rPr>
        <w:t xml:space="preserve"> </w:t>
      </w:r>
      <w:r w:rsidR="00581087" w:rsidRPr="00581087">
        <w:rPr>
          <w:lang w:val="en-GB"/>
        </w:rPr>
        <w:t>carried out</w:t>
      </w:r>
      <w:r w:rsidR="0023108E">
        <w:rPr>
          <w:lang w:val="en-GB"/>
        </w:rPr>
        <w:t xml:space="preserve"> on a</w:t>
      </w:r>
      <w:r w:rsidR="00581087" w:rsidRPr="00581087">
        <w:rPr>
          <w:lang w:val="en-GB"/>
        </w:rPr>
        <w:t xml:space="preserve"> municipal sludge,</w:t>
      </w:r>
      <w:r w:rsidR="0023108E">
        <w:rPr>
          <w:lang w:val="en-GB"/>
        </w:rPr>
        <w:t xml:space="preserve"> and</w:t>
      </w:r>
      <w:r w:rsidR="00581087" w:rsidRPr="00581087">
        <w:rPr>
          <w:lang w:val="en-GB"/>
        </w:rPr>
        <w:t xml:space="preserve"> a bio-</w:t>
      </w:r>
      <w:r w:rsidR="0023108E">
        <w:rPr>
          <w:lang w:val="en-GB"/>
        </w:rPr>
        <w:t>crude</w:t>
      </w:r>
      <w:r w:rsidR="0023108E" w:rsidRPr="00581087">
        <w:rPr>
          <w:lang w:val="en-GB"/>
        </w:rPr>
        <w:t xml:space="preserve"> </w:t>
      </w:r>
      <w:r w:rsidR="00581087" w:rsidRPr="00581087">
        <w:rPr>
          <w:lang w:val="en-GB"/>
        </w:rPr>
        <w:t xml:space="preserve">yield of </w:t>
      </w:r>
      <w:r w:rsidR="00550A07">
        <w:rPr>
          <w:lang w:val="en-GB"/>
        </w:rPr>
        <w:t>38.3</w:t>
      </w:r>
      <w:r w:rsidR="00581087" w:rsidRPr="00581087">
        <w:rPr>
          <w:lang w:val="en-GB"/>
        </w:rPr>
        <w:t>%</w:t>
      </w:r>
      <w:r w:rsidR="0023108E">
        <w:rPr>
          <w:lang w:val="en-GB"/>
        </w:rPr>
        <w:t xml:space="preserve"> was obtained</w:t>
      </w:r>
      <w:r w:rsidR="00550A07">
        <w:rPr>
          <w:lang w:val="en-GB"/>
        </w:rPr>
        <w:t xml:space="preserve"> at 350 °C</w:t>
      </w:r>
      <w:r w:rsidR="00E273DB">
        <w:rPr>
          <w:lang w:val="en-GB"/>
        </w:rPr>
        <w:t xml:space="preserve"> in agreement with data present in literature</w:t>
      </w:r>
      <w:r w:rsidR="00581087" w:rsidRPr="00581087">
        <w:rPr>
          <w:lang w:val="en-GB"/>
        </w:rPr>
        <w:t xml:space="preserve">. Future studies will focus on </w:t>
      </w:r>
      <w:r w:rsidR="0023108E">
        <w:rPr>
          <w:lang w:val="en-GB"/>
        </w:rPr>
        <w:t>a more detailed study of the effect of</w:t>
      </w:r>
      <w:r w:rsidR="0023108E" w:rsidRPr="00581087">
        <w:rPr>
          <w:lang w:val="en-GB"/>
        </w:rPr>
        <w:t xml:space="preserve"> </w:t>
      </w:r>
      <w:r w:rsidR="00581087" w:rsidRPr="00581087">
        <w:rPr>
          <w:lang w:val="en-GB"/>
        </w:rPr>
        <w:t xml:space="preserve">operating conditions </w:t>
      </w:r>
      <w:r w:rsidR="0023108E">
        <w:rPr>
          <w:lang w:val="en-GB"/>
        </w:rPr>
        <w:t>on</w:t>
      </w:r>
      <w:r w:rsidR="00581087" w:rsidRPr="00581087">
        <w:rPr>
          <w:lang w:val="en-GB"/>
        </w:rPr>
        <w:t xml:space="preserve"> bio-oil yield</w:t>
      </w:r>
      <w:r w:rsidR="0023108E">
        <w:rPr>
          <w:lang w:val="en-GB"/>
        </w:rPr>
        <w:t xml:space="preserve"> and quality</w:t>
      </w:r>
      <w:r w:rsidR="00581087" w:rsidRPr="00581087">
        <w:rPr>
          <w:lang w:val="en-GB"/>
        </w:rPr>
        <w:t xml:space="preserve">. </w:t>
      </w:r>
    </w:p>
    <w:p w14:paraId="459D05E6" w14:textId="6DBA1B9B" w:rsidR="00600535" w:rsidRDefault="00600535" w:rsidP="00600535">
      <w:pPr>
        <w:pStyle w:val="CETAcknowledgementstitle"/>
      </w:pPr>
      <w:r w:rsidRPr="00F40100">
        <w:t>Acknowledgments</w:t>
      </w:r>
    </w:p>
    <w:p w14:paraId="17C1F3B6" w14:textId="207E4DE8" w:rsidR="00AE6EBC" w:rsidRPr="007F760E" w:rsidRDefault="00AE6EBC" w:rsidP="00F40100">
      <w:pPr>
        <w:pStyle w:val="CETBodytext"/>
        <w:rPr>
          <w:szCs w:val="18"/>
        </w:rPr>
      </w:pPr>
      <w:r w:rsidRPr="001B4421">
        <w:rPr>
          <w:szCs w:val="18"/>
        </w:rPr>
        <w:t>This work has been carried out as part of the Italian national research project ‘</w:t>
      </w:r>
      <w:proofErr w:type="spellStart"/>
      <w:r w:rsidRPr="001B4421">
        <w:rPr>
          <w:szCs w:val="18"/>
        </w:rPr>
        <w:t>Biofeedstock</w:t>
      </w:r>
      <w:proofErr w:type="spellEnd"/>
      <w:r w:rsidRPr="001B4421">
        <w:rPr>
          <w:szCs w:val="18"/>
        </w:rPr>
        <w:t>’ PONARS01_00985</w:t>
      </w:r>
      <w:r w:rsidR="008C4A09">
        <w:rPr>
          <w:szCs w:val="18"/>
        </w:rPr>
        <w:t xml:space="preserve">, in the framework of the MIUR PNR 2015-2020 </w:t>
      </w:r>
      <w:proofErr w:type="spellStart"/>
      <w:r w:rsidR="008C4A09">
        <w:rPr>
          <w:szCs w:val="18"/>
        </w:rPr>
        <w:t>programme</w:t>
      </w:r>
      <w:proofErr w:type="spellEnd"/>
      <w:r w:rsidR="008C4A09">
        <w:rPr>
          <w:szCs w:val="18"/>
        </w:rPr>
        <w:t>.</w:t>
      </w:r>
    </w:p>
    <w:p w14:paraId="03507984" w14:textId="0A0A5360" w:rsidR="00600535" w:rsidRDefault="00600535" w:rsidP="00772556">
      <w:pPr>
        <w:pStyle w:val="CETReference"/>
      </w:pPr>
      <w:r w:rsidRPr="001B7C9E">
        <w:t>References</w:t>
      </w:r>
    </w:p>
    <w:p w14:paraId="236D4697" w14:textId="0657CC75" w:rsidR="001F50F8" w:rsidRDefault="007A5494" w:rsidP="001B4421">
      <w:pPr>
        <w:pStyle w:val="CETReference"/>
        <w:spacing w:before="0" w:after="0"/>
        <w:jc w:val="both"/>
        <w:rPr>
          <w:b w:val="0"/>
          <w:bCs/>
        </w:rPr>
      </w:pPr>
      <w:hyperlink r:id="rId16" w:history="1">
        <w:r w:rsidR="001F50F8" w:rsidRPr="001F50F8">
          <w:rPr>
            <w:rStyle w:val="Collegamentoipertestuale"/>
            <w:b w:val="0"/>
            <w:bCs/>
          </w:rPr>
          <w:t>https://www.iea.org/data-and-statistics/data-browser/?country=WORLD&amp;fuel=Energy%20supply&amp;indicator=TESbySource</w:t>
        </w:r>
      </w:hyperlink>
      <w:r w:rsidR="008C62CD">
        <w:rPr>
          <w:rStyle w:val="Collegamentoipertestuale"/>
          <w:b w:val="0"/>
          <w:bCs/>
        </w:rPr>
        <w:t>, accessed on February 2022.</w:t>
      </w:r>
    </w:p>
    <w:p w14:paraId="06B4F3C6" w14:textId="77777777" w:rsidR="00734161" w:rsidRPr="00504213" w:rsidRDefault="00734161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</w:p>
    <w:p w14:paraId="7FD7D492" w14:textId="76E63E4C" w:rsidR="002E7FE8" w:rsidRDefault="002E7FE8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 w:rsidRPr="00504213">
        <w:rPr>
          <w:b w:val="0"/>
          <w:bCs/>
        </w:rPr>
        <w:t>Akhtar J., Amin N.A.S, 2011, A review on process conditions for optimum bio-oil yield in hydrothermal liquefaction of biomass, Renewable and Sustainable Energy Reviews, 15, 1615–1624.</w:t>
      </w:r>
    </w:p>
    <w:p w14:paraId="79F0E8D6" w14:textId="0A172D66" w:rsidR="002E31B1" w:rsidRPr="002E4DB2" w:rsidRDefault="002E31B1" w:rsidP="002E4DB2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 w:rsidRPr="001A58EF">
        <w:rPr>
          <w:b w:val="0"/>
          <w:bCs/>
          <w:lang w:val="en-US"/>
        </w:rPr>
        <w:t>Bach</w:t>
      </w:r>
      <w:r w:rsidR="005913B8">
        <w:rPr>
          <w:b w:val="0"/>
          <w:bCs/>
          <w:lang w:val="en-US"/>
        </w:rPr>
        <w:t xml:space="preserve"> </w:t>
      </w:r>
      <w:r w:rsidR="005913B8" w:rsidRPr="00AB5CC9">
        <w:rPr>
          <w:b w:val="0"/>
          <w:bCs/>
          <w:lang w:val="en-US"/>
        </w:rPr>
        <w:t>Q.V</w:t>
      </w:r>
      <w:r w:rsidR="005913B8">
        <w:rPr>
          <w:b w:val="0"/>
          <w:bCs/>
          <w:lang w:val="en-US"/>
        </w:rPr>
        <w:t>.</w:t>
      </w:r>
      <w:r w:rsidRPr="001A58EF">
        <w:rPr>
          <w:b w:val="0"/>
          <w:bCs/>
          <w:lang w:val="en-US"/>
        </w:rPr>
        <w:t>, Tran</w:t>
      </w:r>
      <w:r w:rsidR="005913B8">
        <w:rPr>
          <w:b w:val="0"/>
          <w:bCs/>
          <w:lang w:val="en-US"/>
        </w:rPr>
        <w:t xml:space="preserve"> </w:t>
      </w:r>
      <w:r w:rsidR="005913B8" w:rsidRPr="00AB5CC9">
        <w:rPr>
          <w:b w:val="0"/>
          <w:bCs/>
          <w:lang w:val="en-US"/>
        </w:rPr>
        <w:t>K.Q.</w:t>
      </w:r>
      <w:r w:rsidRPr="001A58EF">
        <w:rPr>
          <w:b w:val="0"/>
          <w:bCs/>
          <w:lang w:val="en-US"/>
        </w:rPr>
        <w:t>,</w:t>
      </w:r>
      <w:r>
        <w:rPr>
          <w:b w:val="0"/>
          <w:bCs/>
          <w:lang w:val="en-US"/>
        </w:rPr>
        <w:t xml:space="preserve"> </w:t>
      </w:r>
      <w:proofErr w:type="spellStart"/>
      <w:r w:rsidRPr="002E31B1">
        <w:rPr>
          <w:b w:val="0"/>
          <w:bCs/>
        </w:rPr>
        <w:t>Lystad</w:t>
      </w:r>
      <w:proofErr w:type="spellEnd"/>
      <w:r w:rsidR="005913B8">
        <w:rPr>
          <w:b w:val="0"/>
          <w:bCs/>
        </w:rPr>
        <w:t xml:space="preserve"> </w:t>
      </w:r>
      <w:r w:rsidR="005913B8" w:rsidRPr="002E31B1">
        <w:rPr>
          <w:b w:val="0"/>
          <w:bCs/>
        </w:rPr>
        <w:t>K</w:t>
      </w:r>
      <w:r w:rsidR="005913B8">
        <w:rPr>
          <w:b w:val="0"/>
          <w:bCs/>
        </w:rPr>
        <w:t>.</w:t>
      </w:r>
      <w:r w:rsidR="005913B8" w:rsidRPr="002E31B1">
        <w:rPr>
          <w:b w:val="0"/>
          <w:bCs/>
        </w:rPr>
        <w:t>Q.</w:t>
      </w:r>
      <w:r>
        <w:rPr>
          <w:b w:val="0"/>
          <w:bCs/>
        </w:rPr>
        <w:t xml:space="preserve">, 2016, </w:t>
      </w:r>
      <w:r w:rsidRPr="002E31B1">
        <w:rPr>
          <w:b w:val="0"/>
          <w:bCs/>
        </w:rPr>
        <w:t xml:space="preserve">Fast </w:t>
      </w:r>
      <w:r>
        <w:rPr>
          <w:b w:val="0"/>
          <w:bCs/>
        </w:rPr>
        <w:t>h</w:t>
      </w:r>
      <w:r w:rsidRPr="002E31B1">
        <w:rPr>
          <w:b w:val="0"/>
          <w:bCs/>
        </w:rPr>
        <w:t xml:space="preserve">ydrothermal </w:t>
      </w:r>
      <w:r>
        <w:rPr>
          <w:b w:val="0"/>
          <w:bCs/>
        </w:rPr>
        <w:t>l</w:t>
      </w:r>
      <w:r w:rsidRPr="002E31B1">
        <w:rPr>
          <w:b w:val="0"/>
          <w:bCs/>
        </w:rPr>
        <w:t xml:space="preserve">iquefaction of </w:t>
      </w:r>
      <w:r>
        <w:rPr>
          <w:b w:val="0"/>
          <w:bCs/>
        </w:rPr>
        <w:t>m</w:t>
      </w:r>
      <w:r w:rsidRPr="002E31B1">
        <w:rPr>
          <w:b w:val="0"/>
          <w:bCs/>
        </w:rPr>
        <w:t>acro-</w:t>
      </w:r>
      <w:r>
        <w:rPr>
          <w:b w:val="0"/>
          <w:bCs/>
        </w:rPr>
        <w:t>a</w:t>
      </w:r>
      <w:r w:rsidRPr="002E31B1">
        <w:rPr>
          <w:b w:val="0"/>
          <w:bCs/>
        </w:rPr>
        <w:t>lga:</w:t>
      </w:r>
      <w:r>
        <w:rPr>
          <w:b w:val="0"/>
          <w:bCs/>
        </w:rPr>
        <w:t xml:space="preserve"> c</w:t>
      </w:r>
      <w:r w:rsidRPr="002E31B1">
        <w:rPr>
          <w:b w:val="0"/>
          <w:bCs/>
        </w:rPr>
        <w:t xml:space="preserve">haracterization of </w:t>
      </w:r>
      <w:r>
        <w:rPr>
          <w:b w:val="0"/>
          <w:bCs/>
        </w:rPr>
        <w:t>p</w:t>
      </w:r>
      <w:r w:rsidRPr="002E31B1">
        <w:rPr>
          <w:b w:val="0"/>
          <w:bCs/>
        </w:rPr>
        <w:t>roducts</w:t>
      </w:r>
      <w:r>
        <w:rPr>
          <w:b w:val="0"/>
          <w:bCs/>
        </w:rPr>
        <w:t>, C</w:t>
      </w:r>
      <w:r w:rsidRPr="002E31B1">
        <w:rPr>
          <w:b w:val="0"/>
          <w:bCs/>
        </w:rPr>
        <w:t xml:space="preserve">hemical </w:t>
      </w:r>
      <w:r>
        <w:rPr>
          <w:b w:val="0"/>
          <w:bCs/>
        </w:rPr>
        <w:t>E</w:t>
      </w:r>
      <w:r w:rsidRPr="002E31B1">
        <w:rPr>
          <w:b w:val="0"/>
          <w:bCs/>
        </w:rPr>
        <w:t xml:space="preserve">ngineering </w:t>
      </w:r>
      <w:r>
        <w:rPr>
          <w:b w:val="0"/>
          <w:bCs/>
        </w:rPr>
        <w:t>T</w:t>
      </w:r>
      <w:r w:rsidRPr="002E31B1">
        <w:rPr>
          <w:b w:val="0"/>
          <w:bCs/>
        </w:rPr>
        <w:t>ransactions</w:t>
      </w:r>
      <w:r>
        <w:rPr>
          <w:b w:val="0"/>
          <w:bCs/>
        </w:rPr>
        <w:t>, 50, 97</w:t>
      </w:r>
      <w:r w:rsidRPr="00734161">
        <w:rPr>
          <w:b w:val="0"/>
          <w:bCs/>
        </w:rPr>
        <w:t>–</w:t>
      </w:r>
      <w:r>
        <w:rPr>
          <w:b w:val="0"/>
          <w:bCs/>
        </w:rPr>
        <w:t>102.</w:t>
      </w:r>
    </w:p>
    <w:p w14:paraId="0E00832A" w14:textId="77777777" w:rsidR="0002781E" w:rsidRDefault="00C561BB" w:rsidP="0002781E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proofErr w:type="spellStart"/>
      <w:r w:rsidRPr="00734161">
        <w:rPr>
          <w:b w:val="0"/>
          <w:bCs/>
        </w:rPr>
        <w:t>Basar</w:t>
      </w:r>
      <w:proofErr w:type="spellEnd"/>
      <w:r w:rsidRPr="00734161">
        <w:rPr>
          <w:b w:val="0"/>
          <w:bCs/>
        </w:rPr>
        <w:t xml:space="preserve"> I.A., Liu H., Carrere H., </w:t>
      </w:r>
      <w:proofErr w:type="spellStart"/>
      <w:r w:rsidRPr="00734161">
        <w:rPr>
          <w:b w:val="0"/>
          <w:bCs/>
        </w:rPr>
        <w:t>Trably</w:t>
      </w:r>
      <w:proofErr w:type="spellEnd"/>
      <w:r w:rsidRPr="00734161">
        <w:rPr>
          <w:b w:val="0"/>
          <w:bCs/>
        </w:rPr>
        <w:t xml:space="preserve"> E., </w:t>
      </w:r>
      <w:proofErr w:type="spellStart"/>
      <w:r w:rsidRPr="00734161">
        <w:rPr>
          <w:b w:val="0"/>
          <w:bCs/>
        </w:rPr>
        <w:t>Eskicioglu</w:t>
      </w:r>
      <w:proofErr w:type="spellEnd"/>
      <w:r w:rsidRPr="00734161">
        <w:rPr>
          <w:b w:val="0"/>
          <w:bCs/>
        </w:rPr>
        <w:t xml:space="preserve"> C., 2021, A review on key design and operational parameters to optimize and develop hydrothermal liquefaction of biomass for biorefinery applications, Green Chemistry, 23, 1404–1446.</w:t>
      </w:r>
    </w:p>
    <w:p w14:paraId="02D0E9F4" w14:textId="5DAAACEF" w:rsidR="0002781E" w:rsidRPr="002E4DB2" w:rsidRDefault="0002781E" w:rsidP="002E4DB2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Brand S., </w:t>
      </w:r>
      <w:proofErr w:type="spellStart"/>
      <w:r>
        <w:rPr>
          <w:b w:val="0"/>
          <w:bCs/>
        </w:rPr>
        <w:t>Hardi</w:t>
      </w:r>
      <w:proofErr w:type="spellEnd"/>
      <w:r>
        <w:rPr>
          <w:b w:val="0"/>
          <w:bCs/>
        </w:rPr>
        <w:t xml:space="preserve"> F., Kim J., Suh D.J., 2014, </w:t>
      </w:r>
      <w:r w:rsidRPr="0002781E">
        <w:rPr>
          <w:b w:val="0"/>
          <w:bCs/>
        </w:rPr>
        <w:t xml:space="preserve">Effect of heating rate on biomass liquefaction: </w:t>
      </w:r>
      <w:r>
        <w:rPr>
          <w:b w:val="0"/>
          <w:bCs/>
        </w:rPr>
        <w:t>d</w:t>
      </w:r>
      <w:r w:rsidRPr="0002781E">
        <w:rPr>
          <w:b w:val="0"/>
          <w:bCs/>
        </w:rPr>
        <w:t>ifferences between</w:t>
      </w:r>
      <w:r>
        <w:rPr>
          <w:b w:val="0"/>
          <w:bCs/>
        </w:rPr>
        <w:t xml:space="preserve"> </w:t>
      </w:r>
      <w:r w:rsidRPr="0002781E">
        <w:rPr>
          <w:b w:val="0"/>
          <w:bCs/>
        </w:rPr>
        <w:t>subcritical water and supercritical ethanol</w:t>
      </w:r>
      <w:r>
        <w:rPr>
          <w:b w:val="0"/>
          <w:bCs/>
        </w:rPr>
        <w:t xml:space="preserve">, </w:t>
      </w:r>
      <w:r w:rsidRPr="0002781E">
        <w:rPr>
          <w:b w:val="0"/>
          <w:bCs/>
        </w:rPr>
        <w:t>Energy</w:t>
      </w:r>
      <w:r>
        <w:rPr>
          <w:b w:val="0"/>
          <w:bCs/>
        </w:rPr>
        <w:t>,</w:t>
      </w:r>
      <w:r w:rsidRPr="0002781E">
        <w:rPr>
          <w:b w:val="0"/>
          <w:bCs/>
        </w:rPr>
        <w:t xml:space="preserve"> 68</w:t>
      </w:r>
      <w:r>
        <w:rPr>
          <w:b w:val="0"/>
          <w:bCs/>
        </w:rPr>
        <w:t>,</w:t>
      </w:r>
      <w:r w:rsidRPr="0002781E">
        <w:rPr>
          <w:b w:val="0"/>
          <w:bCs/>
        </w:rPr>
        <w:t xml:space="preserve"> 420</w:t>
      </w:r>
      <w:r w:rsidRPr="00734161">
        <w:rPr>
          <w:b w:val="0"/>
          <w:bCs/>
        </w:rPr>
        <w:t>–</w:t>
      </w:r>
      <w:r w:rsidRPr="0002781E">
        <w:rPr>
          <w:b w:val="0"/>
          <w:bCs/>
        </w:rPr>
        <w:t>427</w:t>
      </w:r>
      <w:r>
        <w:rPr>
          <w:b w:val="0"/>
          <w:bCs/>
        </w:rPr>
        <w:t>.</w:t>
      </w:r>
    </w:p>
    <w:p w14:paraId="0CF85FA2" w14:textId="09816AA6" w:rsidR="00812AB2" w:rsidRPr="00734161" w:rsidRDefault="00812AB2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proofErr w:type="spellStart"/>
      <w:r w:rsidRPr="00734161">
        <w:rPr>
          <w:b w:val="0"/>
          <w:bCs/>
        </w:rPr>
        <w:t>Cammarota</w:t>
      </w:r>
      <w:proofErr w:type="spellEnd"/>
      <w:r w:rsidRPr="00734161">
        <w:rPr>
          <w:b w:val="0"/>
          <w:bCs/>
        </w:rPr>
        <w:t xml:space="preserve"> A., </w:t>
      </w:r>
      <w:proofErr w:type="spellStart"/>
      <w:r w:rsidRPr="00734161">
        <w:rPr>
          <w:b w:val="0"/>
          <w:bCs/>
        </w:rPr>
        <w:t>Cammarota</w:t>
      </w:r>
      <w:proofErr w:type="spellEnd"/>
      <w:r w:rsidRPr="00734161">
        <w:rPr>
          <w:b w:val="0"/>
          <w:bCs/>
        </w:rPr>
        <w:t xml:space="preserve"> F., </w:t>
      </w:r>
      <w:proofErr w:type="spellStart"/>
      <w:r w:rsidRPr="00734161">
        <w:rPr>
          <w:b w:val="0"/>
          <w:bCs/>
        </w:rPr>
        <w:t>Chirone</w:t>
      </w:r>
      <w:proofErr w:type="spellEnd"/>
      <w:r w:rsidRPr="00734161">
        <w:rPr>
          <w:b w:val="0"/>
          <w:bCs/>
        </w:rPr>
        <w:t xml:space="preserve"> R., </w:t>
      </w:r>
      <w:proofErr w:type="spellStart"/>
      <w:r w:rsidRPr="00734161">
        <w:rPr>
          <w:b w:val="0"/>
          <w:bCs/>
        </w:rPr>
        <w:t>Ruoppolo</w:t>
      </w:r>
      <w:proofErr w:type="spellEnd"/>
      <w:r w:rsidRPr="00734161">
        <w:rPr>
          <w:b w:val="0"/>
          <w:bCs/>
        </w:rPr>
        <w:t xml:space="preserve"> G., </w:t>
      </w:r>
      <w:proofErr w:type="spellStart"/>
      <w:r w:rsidRPr="00734161">
        <w:rPr>
          <w:b w:val="0"/>
          <w:bCs/>
        </w:rPr>
        <w:t>Solimene</w:t>
      </w:r>
      <w:proofErr w:type="spellEnd"/>
      <w:r w:rsidRPr="00734161">
        <w:rPr>
          <w:b w:val="0"/>
          <w:bCs/>
        </w:rPr>
        <w:t xml:space="preserve"> R., </w:t>
      </w:r>
      <w:proofErr w:type="spellStart"/>
      <w:r w:rsidRPr="00734161">
        <w:rPr>
          <w:b w:val="0"/>
          <w:bCs/>
        </w:rPr>
        <w:t>Urciuolo</w:t>
      </w:r>
      <w:proofErr w:type="spellEnd"/>
      <w:r w:rsidRPr="00734161">
        <w:rPr>
          <w:b w:val="0"/>
          <w:bCs/>
        </w:rPr>
        <w:t xml:space="preserve"> M., 2019,</w:t>
      </w:r>
      <w:r w:rsidRPr="00734161">
        <w:t xml:space="preserve"> </w:t>
      </w:r>
      <w:r w:rsidRPr="00734161">
        <w:rPr>
          <w:b w:val="0"/>
          <w:bCs/>
        </w:rPr>
        <w:t xml:space="preserve">Fluidized </w:t>
      </w:r>
      <w:r w:rsidR="00734161">
        <w:rPr>
          <w:b w:val="0"/>
          <w:bCs/>
        </w:rPr>
        <w:t>b</w:t>
      </w:r>
      <w:r w:rsidR="00734161" w:rsidRPr="00734161">
        <w:rPr>
          <w:b w:val="0"/>
          <w:bCs/>
        </w:rPr>
        <w:t xml:space="preserve">ed </w:t>
      </w:r>
      <w:r w:rsidR="00734161">
        <w:rPr>
          <w:b w:val="0"/>
          <w:bCs/>
        </w:rPr>
        <w:t>c</w:t>
      </w:r>
      <w:r w:rsidR="00734161" w:rsidRPr="00734161">
        <w:rPr>
          <w:b w:val="0"/>
          <w:bCs/>
        </w:rPr>
        <w:t xml:space="preserve">ombustion </w:t>
      </w:r>
      <w:r w:rsidRPr="00734161">
        <w:rPr>
          <w:b w:val="0"/>
          <w:bCs/>
        </w:rPr>
        <w:t xml:space="preserve">of </w:t>
      </w:r>
      <w:r w:rsidR="00734161">
        <w:rPr>
          <w:b w:val="0"/>
          <w:bCs/>
        </w:rPr>
        <w:t>p</w:t>
      </w:r>
      <w:r w:rsidR="00734161" w:rsidRPr="00734161">
        <w:rPr>
          <w:b w:val="0"/>
          <w:bCs/>
        </w:rPr>
        <w:t xml:space="preserve">elletized </w:t>
      </w:r>
      <w:r w:rsidR="00734161">
        <w:rPr>
          <w:b w:val="0"/>
          <w:bCs/>
        </w:rPr>
        <w:t>s</w:t>
      </w:r>
      <w:r w:rsidR="00734161" w:rsidRPr="00734161">
        <w:rPr>
          <w:b w:val="0"/>
          <w:bCs/>
        </w:rPr>
        <w:t xml:space="preserve">ewage </w:t>
      </w:r>
      <w:r w:rsidR="00734161">
        <w:rPr>
          <w:b w:val="0"/>
          <w:bCs/>
        </w:rPr>
        <w:t>s</w:t>
      </w:r>
      <w:r w:rsidR="00734161" w:rsidRPr="00734161">
        <w:rPr>
          <w:b w:val="0"/>
          <w:bCs/>
        </w:rPr>
        <w:t xml:space="preserve">ludge </w:t>
      </w:r>
      <w:r w:rsidRPr="00734161">
        <w:rPr>
          <w:b w:val="0"/>
          <w:bCs/>
        </w:rPr>
        <w:t xml:space="preserve">in a </w:t>
      </w:r>
      <w:r w:rsidR="00734161">
        <w:rPr>
          <w:b w:val="0"/>
          <w:bCs/>
        </w:rPr>
        <w:t>p</w:t>
      </w:r>
      <w:r w:rsidR="00734161" w:rsidRPr="00734161">
        <w:rPr>
          <w:b w:val="0"/>
          <w:bCs/>
        </w:rPr>
        <w:t xml:space="preserve">ilot </w:t>
      </w:r>
      <w:r w:rsidR="00734161">
        <w:rPr>
          <w:b w:val="0"/>
          <w:bCs/>
        </w:rPr>
        <w:t>s</w:t>
      </w:r>
      <w:r w:rsidR="00734161" w:rsidRPr="00734161">
        <w:rPr>
          <w:b w:val="0"/>
          <w:bCs/>
        </w:rPr>
        <w:t xml:space="preserve">cale </w:t>
      </w:r>
      <w:r w:rsidR="00734161">
        <w:rPr>
          <w:b w:val="0"/>
          <w:bCs/>
        </w:rPr>
        <w:t>r</w:t>
      </w:r>
      <w:r w:rsidR="00734161" w:rsidRPr="00734161">
        <w:rPr>
          <w:b w:val="0"/>
          <w:bCs/>
        </w:rPr>
        <w:t>eactor</w:t>
      </w:r>
      <w:r w:rsidR="003C0FFF" w:rsidRPr="00734161">
        <w:rPr>
          <w:b w:val="0"/>
          <w:bCs/>
        </w:rPr>
        <w:t>, Combustion Science and Technology,</w:t>
      </w:r>
      <w:r w:rsidR="003C0FFF" w:rsidRPr="00734161">
        <w:t xml:space="preserve"> </w:t>
      </w:r>
      <w:r w:rsidR="003C0FFF" w:rsidRPr="00734161">
        <w:rPr>
          <w:b w:val="0"/>
          <w:bCs/>
        </w:rPr>
        <w:t>191, 1661–1676.</w:t>
      </w:r>
    </w:p>
    <w:p w14:paraId="5C70C603" w14:textId="6BA0A575" w:rsidR="002532A6" w:rsidRPr="007F760E" w:rsidRDefault="002532A6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 w:rsidRPr="007F760E">
        <w:rPr>
          <w:b w:val="0"/>
          <w:bCs/>
        </w:rPr>
        <w:t>Castello D., Pedersen T.H., Rosendahl L.A., 2018, Continuous hydrothermal liquefaction of biomass: A critical review, Energies, 11, 3165.</w:t>
      </w:r>
    </w:p>
    <w:p w14:paraId="3BC9E46F" w14:textId="1AF61F86" w:rsidR="00E07B3D" w:rsidRPr="007F760E" w:rsidRDefault="00E07B3D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 w:rsidRPr="007F760E">
        <w:rPr>
          <w:b w:val="0"/>
          <w:bCs/>
        </w:rPr>
        <w:t xml:space="preserve">Di </w:t>
      </w:r>
      <w:proofErr w:type="spellStart"/>
      <w:r w:rsidRPr="007F760E">
        <w:rPr>
          <w:b w:val="0"/>
          <w:bCs/>
        </w:rPr>
        <w:t>Lauro</w:t>
      </w:r>
      <w:proofErr w:type="spellEnd"/>
      <w:r w:rsidRPr="007F760E">
        <w:rPr>
          <w:b w:val="0"/>
          <w:bCs/>
        </w:rPr>
        <w:t xml:space="preserve"> F., Balsamo M., </w:t>
      </w:r>
      <w:proofErr w:type="spellStart"/>
      <w:r w:rsidRPr="007F760E">
        <w:rPr>
          <w:b w:val="0"/>
          <w:bCs/>
        </w:rPr>
        <w:t>Solimene</w:t>
      </w:r>
      <w:proofErr w:type="spellEnd"/>
      <w:r w:rsidRPr="007F760E">
        <w:rPr>
          <w:b w:val="0"/>
          <w:bCs/>
        </w:rPr>
        <w:t xml:space="preserve"> R., </w:t>
      </w:r>
      <w:proofErr w:type="spellStart"/>
      <w:r w:rsidRPr="007F760E">
        <w:rPr>
          <w:b w:val="0"/>
          <w:bCs/>
        </w:rPr>
        <w:t>Montagnaro</w:t>
      </w:r>
      <w:proofErr w:type="spellEnd"/>
      <w:r w:rsidRPr="007F760E">
        <w:rPr>
          <w:b w:val="0"/>
          <w:bCs/>
        </w:rPr>
        <w:t xml:space="preserve"> F., </w:t>
      </w:r>
      <w:proofErr w:type="spellStart"/>
      <w:r w:rsidRPr="007F760E">
        <w:rPr>
          <w:b w:val="0"/>
          <w:bCs/>
        </w:rPr>
        <w:t>Salatino</w:t>
      </w:r>
      <w:proofErr w:type="spellEnd"/>
      <w:r w:rsidRPr="007F760E">
        <w:rPr>
          <w:b w:val="0"/>
          <w:bCs/>
        </w:rPr>
        <w:t xml:space="preserve"> P., 2020, Hydrothermal liquefaction for the production of energetic vectors from residual materials: literature analysis and characterisation of a tannery sludge, Proceedings of the 8</w:t>
      </w:r>
      <w:r w:rsidRPr="007F760E">
        <w:rPr>
          <w:b w:val="0"/>
          <w:bCs/>
          <w:vertAlign w:val="superscript"/>
        </w:rPr>
        <w:t>th</w:t>
      </w:r>
      <w:r w:rsidRPr="007F760E">
        <w:rPr>
          <w:b w:val="0"/>
          <w:bCs/>
        </w:rPr>
        <w:t xml:space="preserve"> International Symposium on Energy from Biomass and Waste, Virtual Conference.</w:t>
      </w:r>
    </w:p>
    <w:p w14:paraId="4E258E65" w14:textId="3BFD69F1" w:rsidR="00BB63AB" w:rsidRPr="007F760E" w:rsidRDefault="00BB63AB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 w:rsidRPr="007F760E">
        <w:rPr>
          <w:b w:val="0"/>
          <w:bCs/>
        </w:rPr>
        <w:t xml:space="preserve">Di </w:t>
      </w:r>
      <w:proofErr w:type="spellStart"/>
      <w:r w:rsidRPr="007F760E">
        <w:rPr>
          <w:b w:val="0"/>
          <w:bCs/>
        </w:rPr>
        <w:t>Lauro</w:t>
      </w:r>
      <w:proofErr w:type="spellEnd"/>
      <w:r w:rsidRPr="007F760E">
        <w:rPr>
          <w:b w:val="0"/>
          <w:bCs/>
        </w:rPr>
        <w:t xml:space="preserve"> F., Balsamo M., </w:t>
      </w:r>
      <w:proofErr w:type="spellStart"/>
      <w:r w:rsidRPr="007F760E">
        <w:rPr>
          <w:b w:val="0"/>
          <w:bCs/>
        </w:rPr>
        <w:t>Solimene</w:t>
      </w:r>
      <w:proofErr w:type="spellEnd"/>
      <w:r w:rsidRPr="007F760E">
        <w:rPr>
          <w:b w:val="0"/>
          <w:bCs/>
        </w:rPr>
        <w:t xml:space="preserve"> R., </w:t>
      </w:r>
      <w:proofErr w:type="spellStart"/>
      <w:r w:rsidRPr="007F760E">
        <w:rPr>
          <w:b w:val="0"/>
          <w:bCs/>
        </w:rPr>
        <w:t>Migliaccio</w:t>
      </w:r>
      <w:proofErr w:type="spellEnd"/>
      <w:r w:rsidRPr="007F760E">
        <w:rPr>
          <w:b w:val="0"/>
          <w:bCs/>
        </w:rPr>
        <w:t xml:space="preserve"> R., </w:t>
      </w:r>
      <w:proofErr w:type="spellStart"/>
      <w:r w:rsidRPr="007F760E">
        <w:rPr>
          <w:b w:val="0"/>
          <w:bCs/>
        </w:rPr>
        <w:t>Caracciolo</w:t>
      </w:r>
      <w:proofErr w:type="spellEnd"/>
      <w:r w:rsidRPr="007F760E">
        <w:rPr>
          <w:b w:val="0"/>
          <w:bCs/>
        </w:rPr>
        <w:t xml:space="preserve"> D., </w:t>
      </w:r>
      <w:proofErr w:type="spellStart"/>
      <w:r w:rsidRPr="007F760E">
        <w:rPr>
          <w:b w:val="0"/>
          <w:bCs/>
        </w:rPr>
        <w:t>Salatino</w:t>
      </w:r>
      <w:proofErr w:type="spellEnd"/>
      <w:r w:rsidRPr="007F760E">
        <w:rPr>
          <w:b w:val="0"/>
          <w:bCs/>
        </w:rPr>
        <w:t xml:space="preserve"> P., </w:t>
      </w:r>
      <w:proofErr w:type="spellStart"/>
      <w:r w:rsidRPr="007F760E">
        <w:rPr>
          <w:b w:val="0"/>
          <w:bCs/>
        </w:rPr>
        <w:t>Montagnaro</w:t>
      </w:r>
      <w:proofErr w:type="spellEnd"/>
      <w:r w:rsidRPr="007F760E">
        <w:rPr>
          <w:b w:val="0"/>
          <w:bCs/>
        </w:rPr>
        <w:t xml:space="preserve"> F., 2021, Outline of a process for the hydrothermal liquefaction of a tannery sludge for biofuel production</w:t>
      </w:r>
      <w:r w:rsidR="007F760E">
        <w:rPr>
          <w:b w:val="0"/>
          <w:bCs/>
        </w:rPr>
        <w:t>,</w:t>
      </w:r>
      <w:r w:rsidR="007F760E" w:rsidRPr="007F760E">
        <w:rPr>
          <w:b w:val="0"/>
          <w:bCs/>
        </w:rPr>
        <w:t xml:space="preserve"> </w:t>
      </w:r>
      <w:r w:rsidRPr="007F760E">
        <w:rPr>
          <w:b w:val="0"/>
          <w:bCs/>
        </w:rPr>
        <w:t>Proceedings of the 10</w:t>
      </w:r>
      <w:r w:rsidRPr="007F760E">
        <w:rPr>
          <w:b w:val="0"/>
          <w:bCs/>
          <w:vertAlign w:val="superscript"/>
        </w:rPr>
        <w:t>th</w:t>
      </w:r>
      <w:r w:rsidRPr="007F760E">
        <w:rPr>
          <w:b w:val="0"/>
          <w:bCs/>
        </w:rPr>
        <w:t xml:space="preserve"> European Combustion Meeting, 274, Naples, Italy.</w:t>
      </w:r>
    </w:p>
    <w:p w14:paraId="286D2CFE" w14:textId="6B4123FE" w:rsidR="00475C97" w:rsidRPr="00855C85" w:rsidRDefault="00855C85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proofErr w:type="spellStart"/>
      <w:r w:rsidRPr="00855C85">
        <w:rPr>
          <w:b w:val="0"/>
          <w:bCs/>
        </w:rPr>
        <w:t>G</w:t>
      </w:r>
      <w:r>
        <w:rPr>
          <w:b w:val="0"/>
          <w:bCs/>
        </w:rPr>
        <w:t>o</w:t>
      </w:r>
      <w:r w:rsidRPr="00855C85">
        <w:rPr>
          <w:b w:val="0"/>
          <w:bCs/>
        </w:rPr>
        <w:t>llakota</w:t>
      </w:r>
      <w:proofErr w:type="spellEnd"/>
      <w:r w:rsidRPr="00855C85">
        <w:rPr>
          <w:b w:val="0"/>
          <w:bCs/>
        </w:rPr>
        <w:t xml:space="preserve"> </w:t>
      </w:r>
      <w:r w:rsidR="00475C97" w:rsidRPr="00855C85">
        <w:rPr>
          <w:b w:val="0"/>
          <w:bCs/>
        </w:rPr>
        <w:t xml:space="preserve">A.R.K., </w:t>
      </w:r>
      <w:r>
        <w:rPr>
          <w:b w:val="0"/>
          <w:bCs/>
        </w:rPr>
        <w:t>Kishore</w:t>
      </w:r>
      <w:r w:rsidRPr="00855C85">
        <w:rPr>
          <w:b w:val="0"/>
          <w:bCs/>
        </w:rPr>
        <w:t xml:space="preserve"> </w:t>
      </w:r>
      <w:r>
        <w:rPr>
          <w:b w:val="0"/>
          <w:bCs/>
        </w:rPr>
        <w:t>N</w:t>
      </w:r>
      <w:r w:rsidR="00475C97" w:rsidRPr="00855C85">
        <w:rPr>
          <w:b w:val="0"/>
          <w:bCs/>
        </w:rPr>
        <w:t xml:space="preserve">., </w:t>
      </w:r>
      <w:r>
        <w:rPr>
          <w:b w:val="0"/>
          <w:bCs/>
        </w:rPr>
        <w:t>Gu</w:t>
      </w:r>
      <w:r w:rsidRPr="00855C85">
        <w:rPr>
          <w:b w:val="0"/>
          <w:bCs/>
        </w:rPr>
        <w:t xml:space="preserve"> </w:t>
      </w:r>
      <w:r>
        <w:rPr>
          <w:b w:val="0"/>
          <w:bCs/>
        </w:rPr>
        <w:t>S</w:t>
      </w:r>
      <w:r w:rsidR="00475C97" w:rsidRPr="00855C85">
        <w:rPr>
          <w:b w:val="0"/>
          <w:bCs/>
        </w:rPr>
        <w:t xml:space="preserve">., 2018, A </w:t>
      </w:r>
      <w:r>
        <w:rPr>
          <w:b w:val="0"/>
          <w:bCs/>
        </w:rPr>
        <w:t>r</w:t>
      </w:r>
      <w:r w:rsidRPr="00855C85">
        <w:rPr>
          <w:b w:val="0"/>
          <w:bCs/>
        </w:rPr>
        <w:t xml:space="preserve">eview </w:t>
      </w:r>
      <w:r w:rsidR="00475C97" w:rsidRPr="00855C85">
        <w:rPr>
          <w:b w:val="0"/>
          <w:bCs/>
        </w:rPr>
        <w:t xml:space="preserve">on </w:t>
      </w:r>
      <w:r>
        <w:rPr>
          <w:b w:val="0"/>
          <w:bCs/>
        </w:rPr>
        <w:t>h</w:t>
      </w:r>
      <w:r w:rsidRPr="00855C85">
        <w:rPr>
          <w:b w:val="0"/>
          <w:bCs/>
        </w:rPr>
        <w:t xml:space="preserve">ydrothermal </w:t>
      </w:r>
      <w:r>
        <w:rPr>
          <w:b w:val="0"/>
          <w:bCs/>
        </w:rPr>
        <w:t>l</w:t>
      </w:r>
      <w:r w:rsidRPr="00855C85">
        <w:rPr>
          <w:b w:val="0"/>
          <w:bCs/>
        </w:rPr>
        <w:t xml:space="preserve">iquefaction </w:t>
      </w:r>
      <w:r w:rsidR="00475C97" w:rsidRPr="00855C85">
        <w:rPr>
          <w:b w:val="0"/>
          <w:bCs/>
        </w:rPr>
        <w:t xml:space="preserve">of </w:t>
      </w:r>
      <w:r>
        <w:rPr>
          <w:b w:val="0"/>
          <w:bCs/>
        </w:rPr>
        <w:t>b</w:t>
      </w:r>
      <w:r w:rsidRPr="00855C85">
        <w:rPr>
          <w:b w:val="0"/>
          <w:bCs/>
        </w:rPr>
        <w:t>iomass</w:t>
      </w:r>
      <w:r w:rsidR="00475C97" w:rsidRPr="00855C85">
        <w:rPr>
          <w:b w:val="0"/>
          <w:bCs/>
        </w:rPr>
        <w:t>, Renewable and Sustainable Energy Reviews, 81, 1378–1392</w:t>
      </w:r>
    </w:p>
    <w:p w14:paraId="473EC4F5" w14:textId="796D4197" w:rsidR="001F50F8" w:rsidRPr="008C62CD" w:rsidRDefault="001F50F8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 w:rsidRPr="008C62CD">
        <w:rPr>
          <w:b w:val="0"/>
          <w:bCs/>
        </w:rPr>
        <w:t>He C.,</w:t>
      </w:r>
      <w:r w:rsidR="00B42395" w:rsidRPr="008C62CD">
        <w:rPr>
          <w:b w:val="0"/>
          <w:bCs/>
        </w:rPr>
        <w:t xml:space="preserve"> Chen C.L., Giannis A., Yang Y.H., Wang J.Y., 2014, Hydrothermal gasification of sewage sludge and model compounds for renewable hydrogen production: A review, Renewable </w:t>
      </w:r>
      <w:r w:rsidR="008C62CD">
        <w:rPr>
          <w:b w:val="0"/>
          <w:bCs/>
        </w:rPr>
        <w:t xml:space="preserve">and </w:t>
      </w:r>
      <w:r w:rsidR="00B42395" w:rsidRPr="008C62CD">
        <w:rPr>
          <w:b w:val="0"/>
          <w:bCs/>
        </w:rPr>
        <w:t>Sustainable Energy Review</w:t>
      </w:r>
      <w:r w:rsidR="008C62CD">
        <w:rPr>
          <w:b w:val="0"/>
          <w:bCs/>
        </w:rPr>
        <w:t>s</w:t>
      </w:r>
      <w:r w:rsidR="00B42395" w:rsidRPr="008C62CD">
        <w:rPr>
          <w:b w:val="0"/>
          <w:bCs/>
        </w:rPr>
        <w:t>, 39, 1127–</w:t>
      </w:r>
      <w:r w:rsidR="008C62CD">
        <w:rPr>
          <w:b w:val="0"/>
          <w:bCs/>
        </w:rPr>
        <w:t>11</w:t>
      </w:r>
      <w:r w:rsidR="00B42395" w:rsidRPr="008C62CD">
        <w:rPr>
          <w:b w:val="0"/>
          <w:bCs/>
        </w:rPr>
        <w:t xml:space="preserve">42. </w:t>
      </w:r>
    </w:p>
    <w:p w14:paraId="06C06B31" w14:textId="0BA5F714" w:rsidR="000578F1" w:rsidRPr="008C62CD" w:rsidRDefault="00524520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proofErr w:type="spellStart"/>
      <w:r w:rsidRPr="008C62CD">
        <w:rPr>
          <w:b w:val="0"/>
          <w:bCs/>
        </w:rPr>
        <w:t>Malins</w:t>
      </w:r>
      <w:proofErr w:type="spellEnd"/>
      <w:r w:rsidRPr="008C62CD">
        <w:rPr>
          <w:b w:val="0"/>
          <w:bCs/>
        </w:rPr>
        <w:t xml:space="preserve"> </w:t>
      </w:r>
      <w:r w:rsidR="001F50F8" w:rsidRPr="008C62CD">
        <w:rPr>
          <w:b w:val="0"/>
          <w:bCs/>
        </w:rPr>
        <w:t>K</w:t>
      </w:r>
      <w:r w:rsidRPr="008C62CD">
        <w:rPr>
          <w:b w:val="0"/>
          <w:bCs/>
        </w:rPr>
        <w:t xml:space="preserve">., </w:t>
      </w:r>
      <w:proofErr w:type="spellStart"/>
      <w:r w:rsidR="008C62CD">
        <w:rPr>
          <w:b w:val="0"/>
          <w:bCs/>
        </w:rPr>
        <w:t>Kampars</w:t>
      </w:r>
      <w:proofErr w:type="spellEnd"/>
      <w:r w:rsidR="008C62CD" w:rsidRPr="008C62CD">
        <w:rPr>
          <w:b w:val="0"/>
          <w:bCs/>
        </w:rPr>
        <w:t xml:space="preserve"> </w:t>
      </w:r>
      <w:r w:rsidR="008C62CD">
        <w:rPr>
          <w:b w:val="0"/>
          <w:bCs/>
        </w:rPr>
        <w:t>V</w:t>
      </w:r>
      <w:r w:rsidRPr="008C62CD">
        <w:rPr>
          <w:b w:val="0"/>
          <w:bCs/>
        </w:rPr>
        <w:t xml:space="preserve">., </w:t>
      </w:r>
      <w:r w:rsidR="00855C85">
        <w:rPr>
          <w:b w:val="0"/>
          <w:bCs/>
        </w:rPr>
        <w:t>Brinks</w:t>
      </w:r>
      <w:r w:rsidR="00855C85" w:rsidRPr="008C62CD">
        <w:rPr>
          <w:b w:val="0"/>
          <w:bCs/>
        </w:rPr>
        <w:t xml:space="preserve"> </w:t>
      </w:r>
      <w:r w:rsidR="00855C85">
        <w:rPr>
          <w:b w:val="0"/>
          <w:bCs/>
        </w:rPr>
        <w:t>J.</w:t>
      </w:r>
      <w:r w:rsidRPr="008C62CD">
        <w:rPr>
          <w:b w:val="0"/>
          <w:bCs/>
        </w:rPr>
        <w:t xml:space="preserve">, </w:t>
      </w:r>
      <w:proofErr w:type="spellStart"/>
      <w:r w:rsidR="00855C85">
        <w:rPr>
          <w:b w:val="0"/>
          <w:bCs/>
        </w:rPr>
        <w:t>Neibolte</w:t>
      </w:r>
      <w:proofErr w:type="spellEnd"/>
      <w:r w:rsidR="00855C85" w:rsidRPr="008C62CD">
        <w:rPr>
          <w:b w:val="0"/>
          <w:bCs/>
        </w:rPr>
        <w:t xml:space="preserve"> </w:t>
      </w:r>
      <w:r w:rsidR="00855C85">
        <w:rPr>
          <w:b w:val="0"/>
          <w:bCs/>
        </w:rPr>
        <w:t>I</w:t>
      </w:r>
      <w:r w:rsidRPr="008C62CD">
        <w:rPr>
          <w:b w:val="0"/>
          <w:bCs/>
        </w:rPr>
        <w:t xml:space="preserve">., </w:t>
      </w:r>
      <w:proofErr w:type="spellStart"/>
      <w:r w:rsidR="00855C85">
        <w:rPr>
          <w:b w:val="0"/>
          <w:bCs/>
        </w:rPr>
        <w:t>Murnieks</w:t>
      </w:r>
      <w:proofErr w:type="spellEnd"/>
      <w:r w:rsidR="00855C85" w:rsidRPr="008C62CD">
        <w:rPr>
          <w:b w:val="0"/>
          <w:bCs/>
        </w:rPr>
        <w:t xml:space="preserve"> </w:t>
      </w:r>
      <w:r w:rsidR="00855C85">
        <w:rPr>
          <w:b w:val="0"/>
          <w:bCs/>
        </w:rPr>
        <w:t>R</w:t>
      </w:r>
      <w:r w:rsidRPr="008C62CD">
        <w:rPr>
          <w:b w:val="0"/>
          <w:bCs/>
        </w:rPr>
        <w:t xml:space="preserve">., </w:t>
      </w:r>
      <w:proofErr w:type="spellStart"/>
      <w:r w:rsidR="00855C85">
        <w:rPr>
          <w:b w:val="0"/>
          <w:bCs/>
        </w:rPr>
        <w:t>Kampare</w:t>
      </w:r>
      <w:proofErr w:type="spellEnd"/>
      <w:r w:rsidR="00855C85" w:rsidRPr="008C62CD">
        <w:rPr>
          <w:b w:val="0"/>
          <w:bCs/>
        </w:rPr>
        <w:t xml:space="preserve"> </w:t>
      </w:r>
      <w:r w:rsidR="00855C85">
        <w:rPr>
          <w:b w:val="0"/>
          <w:bCs/>
        </w:rPr>
        <w:t>R</w:t>
      </w:r>
      <w:r w:rsidRPr="008C62CD">
        <w:rPr>
          <w:b w:val="0"/>
          <w:bCs/>
        </w:rPr>
        <w:t>., 2015, Bio-oil from thermo-chemical hydro-liquefaction of wet sewage sludge, Bioresource Technology 187, 23–29.</w:t>
      </w:r>
    </w:p>
    <w:p w14:paraId="1D4ABFA7" w14:textId="1920AF01" w:rsidR="000578F1" w:rsidRPr="00855C85" w:rsidRDefault="000578F1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 w:rsidRPr="00855C85">
        <w:rPr>
          <w:b w:val="0"/>
          <w:bCs/>
        </w:rPr>
        <w:t xml:space="preserve">Mujahid R., Riaz A., </w:t>
      </w:r>
      <w:proofErr w:type="spellStart"/>
      <w:r w:rsidRPr="00855C85">
        <w:rPr>
          <w:b w:val="0"/>
          <w:bCs/>
        </w:rPr>
        <w:t>Insyani</w:t>
      </w:r>
      <w:proofErr w:type="spellEnd"/>
      <w:r w:rsidRPr="00855C85">
        <w:rPr>
          <w:b w:val="0"/>
          <w:bCs/>
        </w:rPr>
        <w:t xml:space="preserve"> R., Kim J</w:t>
      </w:r>
      <w:r w:rsidR="00855C85">
        <w:rPr>
          <w:b w:val="0"/>
          <w:bCs/>
        </w:rPr>
        <w:t>.</w:t>
      </w:r>
      <w:r w:rsidRPr="00855C85">
        <w:rPr>
          <w:b w:val="0"/>
          <w:bCs/>
        </w:rPr>
        <w:t>, 2020</w:t>
      </w:r>
      <w:r w:rsidR="00855C85">
        <w:rPr>
          <w:b w:val="0"/>
          <w:bCs/>
        </w:rPr>
        <w:t>,</w:t>
      </w:r>
      <w:r w:rsidRPr="00855C85">
        <w:rPr>
          <w:b w:val="0"/>
          <w:bCs/>
        </w:rPr>
        <w:t xml:space="preserve"> </w:t>
      </w:r>
      <w:r w:rsidR="00855C85">
        <w:rPr>
          <w:b w:val="0"/>
          <w:bCs/>
        </w:rPr>
        <w:t xml:space="preserve">A </w:t>
      </w:r>
      <w:r w:rsidRPr="00855C85">
        <w:rPr>
          <w:b w:val="0"/>
          <w:bCs/>
        </w:rPr>
        <w:t>centrifugation-first approach for recovering high-yield bio-oil with high calorific values in biomass liquefaction: A case study of sewage sludge,</w:t>
      </w:r>
      <w:r w:rsidRPr="00855C85">
        <w:t xml:space="preserve"> </w:t>
      </w:r>
      <w:r w:rsidRPr="00855C85">
        <w:rPr>
          <w:b w:val="0"/>
          <w:bCs/>
        </w:rPr>
        <w:t>Fuel, 262, 116628.</w:t>
      </w:r>
    </w:p>
    <w:p w14:paraId="18B5A567" w14:textId="6BA654DF" w:rsidR="00070D46" w:rsidRPr="00855C85" w:rsidRDefault="00070D46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 w:rsidRPr="00855C85">
        <w:rPr>
          <w:b w:val="0"/>
          <w:bCs/>
        </w:rPr>
        <w:t>Qian L., Wang S., Savage P.E., 2017, Hydrothermal liquefaction of sewage sludge under isothermal and fast conditions, Bioresource Technology, 232, 27–34.</w:t>
      </w:r>
    </w:p>
    <w:p w14:paraId="5CB2EF78" w14:textId="279CFFB9" w:rsidR="00BB63AB" w:rsidRDefault="00BB63AB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bookmarkStart w:id="3" w:name="_Hlk94942694"/>
      <w:r w:rsidRPr="007F760E">
        <w:rPr>
          <w:b w:val="0"/>
          <w:bCs/>
        </w:rPr>
        <w:t xml:space="preserve">Rahman T., </w:t>
      </w:r>
      <w:proofErr w:type="spellStart"/>
      <w:r w:rsidRPr="007F760E">
        <w:rPr>
          <w:b w:val="0"/>
          <w:bCs/>
        </w:rPr>
        <w:t>Jahromi</w:t>
      </w:r>
      <w:proofErr w:type="spellEnd"/>
      <w:r w:rsidRPr="007F760E">
        <w:rPr>
          <w:b w:val="0"/>
          <w:bCs/>
        </w:rPr>
        <w:t xml:space="preserve"> H., Roy P., Adhikari S., </w:t>
      </w:r>
      <w:proofErr w:type="spellStart"/>
      <w:r w:rsidRPr="007F760E">
        <w:rPr>
          <w:b w:val="0"/>
          <w:bCs/>
        </w:rPr>
        <w:t>Hassani</w:t>
      </w:r>
      <w:proofErr w:type="spellEnd"/>
      <w:r w:rsidRPr="007F760E">
        <w:rPr>
          <w:b w:val="0"/>
          <w:bCs/>
        </w:rPr>
        <w:t xml:space="preserve"> E., Oh T.</w:t>
      </w:r>
      <w:r w:rsidR="007F760E" w:rsidRPr="001B4421">
        <w:rPr>
          <w:b w:val="0"/>
          <w:bCs/>
        </w:rPr>
        <w:t>S.</w:t>
      </w:r>
      <w:r w:rsidRPr="007F760E">
        <w:rPr>
          <w:b w:val="0"/>
          <w:bCs/>
        </w:rPr>
        <w:t>, 2021, Hydrothermal liquefaction of municipal sewage sludge: Effect of red mud catalyst in ethylene and inert ambiences, Energy Conversion and Management, 245, 114615</w:t>
      </w:r>
      <w:r w:rsidR="007F760E">
        <w:rPr>
          <w:b w:val="0"/>
          <w:bCs/>
        </w:rPr>
        <w:t>.</w:t>
      </w:r>
    </w:p>
    <w:p w14:paraId="74ED9641" w14:textId="5E69E013" w:rsidR="00D175EF" w:rsidRPr="001A58EF" w:rsidRDefault="00D175EF" w:rsidP="002E4DB2">
      <w:pPr>
        <w:pStyle w:val="CETReference"/>
        <w:spacing w:before="0" w:after="0"/>
        <w:ind w:left="284" w:hanging="284"/>
        <w:jc w:val="both"/>
        <w:rPr>
          <w:b w:val="0"/>
          <w:lang w:val="en-US"/>
        </w:rPr>
      </w:pPr>
      <w:r w:rsidRPr="001A58EF">
        <w:rPr>
          <w:b w:val="0"/>
          <w:lang w:val="en-US"/>
        </w:rPr>
        <w:t>Rizzo</w:t>
      </w:r>
      <w:r w:rsidR="005913B8" w:rsidRPr="00835181">
        <w:rPr>
          <w:b w:val="0"/>
          <w:lang w:val="en-US"/>
        </w:rPr>
        <w:t xml:space="preserve"> </w:t>
      </w:r>
      <w:r w:rsidR="005913B8" w:rsidRPr="00FF4BB0">
        <w:rPr>
          <w:b w:val="0"/>
          <w:lang w:val="en-US"/>
        </w:rPr>
        <w:t>A.M.</w:t>
      </w:r>
      <w:r w:rsidRPr="001A58EF">
        <w:rPr>
          <w:b w:val="0"/>
          <w:lang w:val="en-US"/>
        </w:rPr>
        <w:t xml:space="preserve">, </w:t>
      </w:r>
      <w:proofErr w:type="spellStart"/>
      <w:r w:rsidRPr="001A58EF">
        <w:rPr>
          <w:b w:val="0"/>
          <w:lang w:val="en-US"/>
        </w:rPr>
        <w:t>Dell’Orco</w:t>
      </w:r>
      <w:proofErr w:type="spellEnd"/>
      <w:r w:rsidR="005913B8" w:rsidRPr="00835181">
        <w:rPr>
          <w:b w:val="0"/>
          <w:lang w:val="en-US"/>
        </w:rPr>
        <w:t xml:space="preserve"> </w:t>
      </w:r>
      <w:r w:rsidR="005913B8" w:rsidRPr="00FF4BB0">
        <w:rPr>
          <w:b w:val="0"/>
          <w:lang w:val="en-US"/>
        </w:rPr>
        <w:t>S.</w:t>
      </w:r>
      <w:r w:rsidRPr="001A58EF">
        <w:rPr>
          <w:b w:val="0"/>
          <w:lang w:val="en-US"/>
        </w:rPr>
        <w:t xml:space="preserve">, </w:t>
      </w:r>
      <w:proofErr w:type="spellStart"/>
      <w:r w:rsidRPr="001A58EF">
        <w:rPr>
          <w:b w:val="0"/>
          <w:lang w:val="en-US"/>
        </w:rPr>
        <w:t>Miliotti</w:t>
      </w:r>
      <w:proofErr w:type="spellEnd"/>
      <w:r w:rsidR="005913B8" w:rsidRPr="00FF4BB0">
        <w:rPr>
          <w:b w:val="0"/>
          <w:lang w:val="en-US"/>
        </w:rPr>
        <w:t xml:space="preserve"> E.</w:t>
      </w:r>
      <w:r w:rsidRPr="001A58EF">
        <w:rPr>
          <w:b w:val="0"/>
          <w:lang w:val="en-US"/>
        </w:rPr>
        <w:t xml:space="preserve">, </w:t>
      </w:r>
      <w:proofErr w:type="spellStart"/>
      <w:r w:rsidRPr="001A58EF">
        <w:rPr>
          <w:b w:val="0"/>
          <w:lang w:val="en-US"/>
        </w:rPr>
        <w:t>Chiaramonti</w:t>
      </w:r>
      <w:proofErr w:type="spellEnd"/>
      <w:r w:rsidR="00823037" w:rsidRPr="00FF4BB0">
        <w:rPr>
          <w:b w:val="0"/>
          <w:lang w:val="en-US"/>
        </w:rPr>
        <w:t xml:space="preserve"> D.</w:t>
      </w:r>
      <w:r w:rsidRPr="001A58EF">
        <w:rPr>
          <w:b w:val="0"/>
          <w:lang w:val="en-US"/>
        </w:rPr>
        <w:t>,</w:t>
      </w:r>
      <w:r w:rsidRPr="00835181">
        <w:rPr>
          <w:b w:val="0"/>
          <w:lang w:val="en-US"/>
        </w:rPr>
        <w:t xml:space="preserve"> 2020,</w:t>
      </w:r>
      <w:r w:rsidRPr="001A58EF">
        <w:rPr>
          <w:b w:val="0"/>
          <w:lang w:val="en-US"/>
        </w:rPr>
        <w:t xml:space="preserve"> </w:t>
      </w:r>
      <w:r w:rsidRPr="00835181">
        <w:rPr>
          <w:b w:val="0"/>
          <w:lang w:val="en-US"/>
        </w:rPr>
        <w:t xml:space="preserve">Design, </w:t>
      </w:r>
      <w:r w:rsidR="00FF4BB0">
        <w:rPr>
          <w:b w:val="0"/>
          <w:lang w:val="en-US"/>
        </w:rPr>
        <w:t>c</w:t>
      </w:r>
      <w:r w:rsidRPr="00835181">
        <w:rPr>
          <w:b w:val="0"/>
          <w:lang w:val="en-US"/>
        </w:rPr>
        <w:t>ommissioning and start-up of a new hydrothermal liquefaction continuous pilot unit,</w:t>
      </w:r>
      <w:r w:rsidRPr="00FF4BB0">
        <w:rPr>
          <w:b w:val="0"/>
          <w:lang w:val="en-US"/>
        </w:rPr>
        <w:t xml:space="preserve"> </w:t>
      </w:r>
      <w:r w:rsidRPr="00FF4BB0">
        <w:rPr>
          <w:b w:val="0"/>
        </w:rPr>
        <w:t>Chemical Engineering Transactions, 80, 367–</w:t>
      </w:r>
      <w:r w:rsidRPr="00835181">
        <w:t>372.</w:t>
      </w:r>
      <w:r w:rsidRPr="00835181">
        <w:rPr>
          <w:lang w:val="en-US"/>
        </w:rPr>
        <w:t xml:space="preserve">  </w:t>
      </w:r>
    </w:p>
    <w:p w14:paraId="0746B8AF" w14:textId="1257DD93" w:rsidR="0085726E" w:rsidRPr="00734161" w:rsidRDefault="0085726E" w:rsidP="00734161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proofErr w:type="spellStart"/>
      <w:r w:rsidRPr="00734161">
        <w:rPr>
          <w:b w:val="0"/>
          <w:bCs/>
        </w:rPr>
        <w:t>Theegala</w:t>
      </w:r>
      <w:proofErr w:type="spellEnd"/>
      <w:r w:rsidRPr="00734161">
        <w:rPr>
          <w:b w:val="0"/>
          <w:bCs/>
        </w:rPr>
        <w:t xml:space="preserve"> C.S. and </w:t>
      </w:r>
      <w:r w:rsidR="00734161">
        <w:rPr>
          <w:b w:val="0"/>
          <w:bCs/>
        </w:rPr>
        <w:t>Midgett</w:t>
      </w:r>
      <w:r w:rsidR="00734161" w:rsidRPr="00734161">
        <w:rPr>
          <w:b w:val="0"/>
          <w:bCs/>
        </w:rPr>
        <w:t xml:space="preserve"> </w:t>
      </w:r>
      <w:r w:rsidR="00734161">
        <w:rPr>
          <w:b w:val="0"/>
          <w:bCs/>
        </w:rPr>
        <w:t>J</w:t>
      </w:r>
      <w:r w:rsidRPr="00734161">
        <w:rPr>
          <w:b w:val="0"/>
          <w:bCs/>
        </w:rPr>
        <w:t>.</w:t>
      </w:r>
      <w:r w:rsidR="00734161">
        <w:rPr>
          <w:b w:val="0"/>
          <w:bCs/>
        </w:rPr>
        <w:t>S</w:t>
      </w:r>
      <w:r w:rsidRPr="00734161">
        <w:rPr>
          <w:b w:val="0"/>
          <w:bCs/>
        </w:rPr>
        <w:t>.</w:t>
      </w:r>
      <w:bookmarkEnd w:id="3"/>
      <w:r w:rsidRPr="00734161">
        <w:rPr>
          <w:b w:val="0"/>
          <w:bCs/>
        </w:rPr>
        <w:t>, 2012</w:t>
      </w:r>
      <w:r w:rsidR="00734161">
        <w:rPr>
          <w:b w:val="0"/>
          <w:bCs/>
        </w:rPr>
        <w:t>,</w:t>
      </w:r>
      <w:r w:rsidR="00734161" w:rsidRPr="00734161">
        <w:rPr>
          <w:b w:val="0"/>
          <w:bCs/>
        </w:rPr>
        <w:t xml:space="preserve"> </w:t>
      </w:r>
      <w:r w:rsidRPr="00734161">
        <w:rPr>
          <w:b w:val="0"/>
          <w:bCs/>
        </w:rPr>
        <w:t xml:space="preserve">Hydrothermal </w:t>
      </w:r>
      <w:r w:rsidR="00734161">
        <w:rPr>
          <w:b w:val="0"/>
          <w:bCs/>
        </w:rPr>
        <w:t>l</w:t>
      </w:r>
      <w:r w:rsidR="00734161" w:rsidRPr="00734161">
        <w:rPr>
          <w:b w:val="0"/>
          <w:bCs/>
        </w:rPr>
        <w:t xml:space="preserve">iquefaction </w:t>
      </w:r>
      <w:r w:rsidRPr="00734161">
        <w:rPr>
          <w:b w:val="0"/>
          <w:bCs/>
        </w:rPr>
        <w:t xml:space="preserve">of </w:t>
      </w:r>
      <w:r w:rsidR="00734161">
        <w:rPr>
          <w:b w:val="0"/>
          <w:bCs/>
        </w:rPr>
        <w:t>s</w:t>
      </w:r>
      <w:r w:rsidR="00734161" w:rsidRPr="00734161">
        <w:rPr>
          <w:b w:val="0"/>
          <w:bCs/>
        </w:rPr>
        <w:t xml:space="preserve">eparated </w:t>
      </w:r>
      <w:r w:rsidR="00734161">
        <w:rPr>
          <w:b w:val="0"/>
          <w:bCs/>
        </w:rPr>
        <w:t>d</w:t>
      </w:r>
      <w:r w:rsidR="00734161" w:rsidRPr="00734161">
        <w:rPr>
          <w:b w:val="0"/>
          <w:bCs/>
        </w:rPr>
        <w:t xml:space="preserve">airy </w:t>
      </w:r>
      <w:r w:rsidR="00734161">
        <w:rPr>
          <w:b w:val="0"/>
          <w:bCs/>
        </w:rPr>
        <w:t>m</w:t>
      </w:r>
      <w:r w:rsidR="00734161" w:rsidRPr="00734161">
        <w:rPr>
          <w:b w:val="0"/>
          <w:bCs/>
        </w:rPr>
        <w:t xml:space="preserve">anure </w:t>
      </w:r>
      <w:r w:rsidRPr="00734161">
        <w:rPr>
          <w:b w:val="0"/>
          <w:bCs/>
        </w:rPr>
        <w:t xml:space="preserve">for </w:t>
      </w:r>
      <w:r w:rsidR="00734161">
        <w:rPr>
          <w:b w:val="0"/>
          <w:bCs/>
        </w:rPr>
        <w:t>p</w:t>
      </w:r>
      <w:r w:rsidR="00734161" w:rsidRPr="00734161">
        <w:rPr>
          <w:b w:val="0"/>
          <w:bCs/>
        </w:rPr>
        <w:t xml:space="preserve">roduction </w:t>
      </w:r>
      <w:r w:rsidRPr="00734161">
        <w:rPr>
          <w:b w:val="0"/>
          <w:bCs/>
        </w:rPr>
        <w:t xml:space="preserve">of </w:t>
      </w:r>
      <w:r w:rsidR="00734161">
        <w:rPr>
          <w:b w:val="0"/>
          <w:bCs/>
        </w:rPr>
        <w:t>b</w:t>
      </w:r>
      <w:r w:rsidR="00734161" w:rsidRPr="00734161">
        <w:rPr>
          <w:b w:val="0"/>
          <w:bCs/>
        </w:rPr>
        <w:t>io</w:t>
      </w:r>
      <w:r w:rsidRPr="00734161">
        <w:rPr>
          <w:b w:val="0"/>
          <w:bCs/>
        </w:rPr>
        <w:t>-</w:t>
      </w:r>
      <w:r w:rsidR="00734161">
        <w:rPr>
          <w:b w:val="0"/>
          <w:bCs/>
        </w:rPr>
        <w:t>o</w:t>
      </w:r>
      <w:r w:rsidR="00734161" w:rsidRPr="00734161">
        <w:rPr>
          <w:b w:val="0"/>
          <w:bCs/>
        </w:rPr>
        <w:t xml:space="preserve">ils </w:t>
      </w:r>
      <w:r w:rsidRPr="00734161">
        <w:rPr>
          <w:b w:val="0"/>
          <w:bCs/>
        </w:rPr>
        <w:t xml:space="preserve">with </w:t>
      </w:r>
      <w:r w:rsidR="00734161">
        <w:rPr>
          <w:b w:val="0"/>
          <w:bCs/>
        </w:rPr>
        <w:t>s</w:t>
      </w:r>
      <w:r w:rsidR="00734161" w:rsidRPr="00734161">
        <w:rPr>
          <w:b w:val="0"/>
          <w:bCs/>
        </w:rPr>
        <w:t xml:space="preserve">imultaneous </w:t>
      </w:r>
      <w:r w:rsidR="00734161">
        <w:rPr>
          <w:b w:val="0"/>
          <w:bCs/>
        </w:rPr>
        <w:t>w</w:t>
      </w:r>
      <w:r w:rsidR="00734161" w:rsidRPr="00734161">
        <w:rPr>
          <w:b w:val="0"/>
          <w:bCs/>
        </w:rPr>
        <w:t xml:space="preserve">aste </w:t>
      </w:r>
      <w:r w:rsidR="00734161">
        <w:rPr>
          <w:b w:val="0"/>
          <w:bCs/>
        </w:rPr>
        <w:t>t</w:t>
      </w:r>
      <w:r w:rsidR="00734161" w:rsidRPr="00734161">
        <w:rPr>
          <w:b w:val="0"/>
          <w:bCs/>
        </w:rPr>
        <w:t>reatment</w:t>
      </w:r>
      <w:r w:rsidR="002532A6" w:rsidRPr="00734161">
        <w:rPr>
          <w:b w:val="0"/>
          <w:bCs/>
        </w:rPr>
        <w:t>,</w:t>
      </w:r>
      <w:r w:rsidRPr="00734161">
        <w:rPr>
          <w:b w:val="0"/>
          <w:bCs/>
        </w:rPr>
        <w:t xml:space="preserve"> Bioresource Technology</w:t>
      </w:r>
      <w:r w:rsidR="002532A6" w:rsidRPr="00734161">
        <w:rPr>
          <w:b w:val="0"/>
          <w:bCs/>
        </w:rPr>
        <w:t>,</w:t>
      </w:r>
      <w:r w:rsidRPr="00734161">
        <w:rPr>
          <w:b w:val="0"/>
          <w:bCs/>
        </w:rPr>
        <w:t xml:space="preserve"> 107</w:t>
      </w:r>
      <w:r w:rsidR="002532A6" w:rsidRPr="00734161">
        <w:rPr>
          <w:b w:val="0"/>
          <w:bCs/>
        </w:rPr>
        <w:t>,</w:t>
      </w:r>
      <w:r w:rsidRPr="00734161">
        <w:rPr>
          <w:b w:val="0"/>
          <w:bCs/>
        </w:rPr>
        <w:t xml:space="preserve"> 456–</w:t>
      </w:r>
      <w:r w:rsidR="00734161">
        <w:rPr>
          <w:b w:val="0"/>
          <w:bCs/>
        </w:rPr>
        <w:t>4</w:t>
      </w:r>
      <w:r w:rsidRPr="00734161">
        <w:rPr>
          <w:b w:val="0"/>
          <w:bCs/>
        </w:rPr>
        <w:t>63.</w:t>
      </w:r>
    </w:p>
    <w:p w14:paraId="5FF01EBF" w14:textId="19D88105" w:rsidR="002E7FE8" w:rsidRPr="00A84AE8" w:rsidRDefault="00121E01" w:rsidP="002E7FE8">
      <w:pPr>
        <w:pStyle w:val="CETReference"/>
        <w:spacing w:before="0" w:after="0"/>
        <w:ind w:left="284" w:hanging="284"/>
        <w:jc w:val="both"/>
        <w:rPr>
          <w:b w:val="0"/>
          <w:bCs/>
        </w:rPr>
      </w:pPr>
      <w:r w:rsidRPr="00734161">
        <w:rPr>
          <w:b w:val="0"/>
          <w:bCs/>
        </w:rPr>
        <w:t>Wang L., Chang Y., Li A.,</w:t>
      </w:r>
      <w:r w:rsidR="00C561BB" w:rsidRPr="00734161">
        <w:rPr>
          <w:b w:val="0"/>
          <w:bCs/>
        </w:rPr>
        <w:t xml:space="preserve"> 2019,</w:t>
      </w:r>
      <w:r w:rsidRPr="00734161">
        <w:rPr>
          <w:b w:val="0"/>
          <w:bCs/>
        </w:rPr>
        <w:t xml:space="preserve"> Hydrothermal carbonization for energy-efficient processing of sewage sludge: A review</w:t>
      </w:r>
      <w:r w:rsidR="00C561BB" w:rsidRPr="00734161">
        <w:rPr>
          <w:b w:val="0"/>
          <w:bCs/>
        </w:rPr>
        <w:t>,</w:t>
      </w:r>
      <w:r w:rsidRPr="00734161">
        <w:rPr>
          <w:b w:val="0"/>
          <w:bCs/>
        </w:rPr>
        <w:t xml:space="preserve"> Renewable and Sustainable Energy Reviews, 108, 423–440.</w:t>
      </w:r>
    </w:p>
    <w:sectPr w:rsidR="002E7FE8" w:rsidRPr="00A84AE8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0303" w14:textId="77777777" w:rsidR="007A5494" w:rsidRDefault="007A5494" w:rsidP="004F5E36">
      <w:r>
        <w:separator/>
      </w:r>
    </w:p>
  </w:endnote>
  <w:endnote w:type="continuationSeparator" w:id="0">
    <w:p w14:paraId="4A3C523B" w14:textId="77777777" w:rsidR="007A5494" w:rsidRDefault="007A549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D577A" w14:textId="77777777" w:rsidR="007A5494" w:rsidRDefault="007A5494" w:rsidP="004F5E36">
      <w:r>
        <w:separator/>
      </w:r>
    </w:p>
  </w:footnote>
  <w:footnote w:type="continuationSeparator" w:id="0">
    <w:p w14:paraId="03F2B473" w14:textId="77777777" w:rsidR="007A5494" w:rsidRDefault="007A5494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CC2653AC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117CB"/>
    <w:rsid w:val="000136B7"/>
    <w:rsid w:val="0002781E"/>
    <w:rsid w:val="0003148D"/>
    <w:rsid w:val="00031EEC"/>
    <w:rsid w:val="00051566"/>
    <w:rsid w:val="000578F1"/>
    <w:rsid w:val="00061475"/>
    <w:rsid w:val="00062A9A"/>
    <w:rsid w:val="00065058"/>
    <w:rsid w:val="00065823"/>
    <w:rsid w:val="00067BB4"/>
    <w:rsid w:val="00070D46"/>
    <w:rsid w:val="00072BDA"/>
    <w:rsid w:val="000766F6"/>
    <w:rsid w:val="00076931"/>
    <w:rsid w:val="00086C39"/>
    <w:rsid w:val="00090A5D"/>
    <w:rsid w:val="000A03B2"/>
    <w:rsid w:val="000B52E5"/>
    <w:rsid w:val="000C649D"/>
    <w:rsid w:val="000D0268"/>
    <w:rsid w:val="000D162F"/>
    <w:rsid w:val="000D2229"/>
    <w:rsid w:val="000D34BE"/>
    <w:rsid w:val="000D475D"/>
    <w:rsid w:val="000D7FB0"/>
    <w:rsid w:val="000E0410"/>
    <w:rsid w:val="000E102F"/>
    <w:rsid w:val="000E36F1"/>
    <w:rsid w:val="000E3A73"/>
    <w:rsid w:val="000E414A"/>
    <w:rsid w:val="000E5D7B"/>
    <w:rsid w:val="000F093C"/>
    <w:rsid w:val="000F787B"/>
    <w:rsid w:val="00106C8D"/>
    <w:rsid w:val="0012091F"/>
    <w:rsid w:val="00121E01"/>
    <w:rsid w:val="00126BC2"/>
    <w:rsid w:val="001308B6"/>
    <w:rsid w:val="0013121F"/>
    <w:rsid w:val="00131FE6"/>
    <w:rsid w:val="0013263F"/>
    <w:rsid w:val="001331DF"/>
    <w:rsid w:val="00134DE4"/>
    <w:rsid w:val="0014034D"/>
    <w:rsid w:val="00143431"/>
    <w:rsid w:val="00144D16"/>
    <w:rsid w:val="00145BEE"/>
    <w:rsid w:val="00150E59"/>
    <w:rsid w:val="00152DE3"/>
    <w:rsid w:val="00157AB9"/>
    <w:rsid w:val="00164CF9"/>
    <w:rsid w:val="00164F35"/>
    <w:rsid w:val="0016569F"/>
    <w:rsid w:val="001667A6"/>
    <w:rsid w:val="00166F65"/>
    <w:rsid w:val="00173380"/>
    <w:rsid w:val="00180F04"/>
    <w:rsid w:val="00184AD6"/>
    <w:rsid w:val="00184FE1"/>
    <w:rsid w:val="0019547A"/>
    <w:rsid w:val="001A220E"/>
    <w:rsid w:val="001A4AF7"/>
    <w:rsid w:val="001A58EF"/>
    <w:rsid w:val="001B0349"/>
    <w:rsid w:val="001B1E93"/>
    <w:rsid w:val="001B4421"/>
    <w:rsid w:val="001B65C1"/>
    <w:rsid w:val="001B7C9E"/>
    <w:rsid w:val="001C684B"/>
    <w:rsid w:val="001D0CFB"/>
    <w:rsid w:val="001D21AF"/>
    <w:rsid w:val="001D53FC"/>
    <w:rsid w:val="001E4185"/>
    <w:rsid w:val="001F42A5"/>
    <w:rsid w:val="001F50F8"/>
    <w:rsid w:val="001F7B9D"/>
    <w:rsid w:val="00201C93"/>
    <w:rsid w:val="00211EC2"/>
    <w:rsid w:val="00216CF4"/>
    <w:rsid w:val="002224B4"/>
    <w:rsid w:val="0023108E"/>
    <w:rsid w:val="0023393A"/>
    <w:rsid w:val="002447EF"/>
    <w:rsid w:val="00251550"/>
    <w:rsid w:val="002532A6"/>
    <w:rsid w:val="002561E3"/>
    <w:rsid w:val="00263B05"/>
    <w:rsid w:val="00271C9D"/>
    <w:rsid w:val="0027221A"/>
    <w:rsid w:val="00275B61"/>
    <w:rsid w:val="00280FAF"/>
    <w:rsid w:val="00282656"/>
    <w:rsid w:val="00283C3C"/>
    <w:rsid w:val="00285EAD"/>
    <w:rsid w:val="00296B83"/>
    <w:rsid w:val="00297435"/>
    <w:rsid w:val="002A07E4"/>
    <w:rsid w:val="002A1B74"/>
    <w:rsid w:val="002B1160"/>
    <w:rsid w:val="002B4015"/>
    <w:rsid w:val="002B78CE"/>
    <w:rsid w:val="002C2FB6"/>
    <w:rsid w:val="002C5226"/>
    <w:rsid w:val="002D175A"/>
    <w:rsid w:val="002E31B1"/>
    <w:rsid w:val="002E461C"/>
    <w:rsid w:val="002E4DB2"/>
    <w:rsid w:val="002E5FA7"/>
    <w:rsid w:val="002E7FE8"/>
    <w:rsid w:val="002F3309"/>
    <w:rsid w:val="003008CE"/>
    <w:rsid w:val="003009B7"/>
    <w:rsid w:val="00300E56"/>
    <w:rsid w:val="00304488"/>
    <w:rsid w:val="0030469C"/>
    <w:rsid w:val="003134DA"/>
    <w:rsid w:val="00321CA6"/>
    <w:rsid w:val="00322DF2"/>
    <w:rsid w:val="00323763"/>
    <w:rsid w:val="003331A6"/>
    <w:rsid w:val="00334C09"/>
    <w:rsid w:val="003723D4"/>
    <w:rsid w:val="00380BD3"/>
    <w:rsid w:val="00381905"/>
    <w:rsid w:val="00384CC8"/>
    <w:rsid w:val="00385F2B"/>
    <w:rsid w:val="003871FD"/>
    <w:rsid w:val="003A1E30"/>
    <w:rsid w:val="003A2829"/>
    <w:rsid w:val="003A7D1C"/>
    <w:rsid w:val="003B1ED7"/>
    <w:rsid w:val="003B2EEE"/>
    <w:rsid w:val="003B304B"/>
    <w:rsid w:val="003B3146"/>
    <w:rsid w:val="003C0FFF"/>
    <w:rsid w:val="003C6116"/>
    <w:rsid w:val="003D1240"/>
    <w:rsid w:val="003D44EE"/>
    <w:rsid w:val="003D4529"/>
    <w:rsid w:val="003D7452"/>
    <w:rsid w:val="003E0FCF"/>
    <w:rsid w:val="003E345D"/>
    <w:rsid w:val="003F015E"/>
    <w:rsid w:val="00400414"/>
    <w:rsid w:val="0040376C"/>
    <w:rsid w:val="0041446B"/>
    <w:rsid w:val="0041579C"/>
    <w:rsid w:val="00422D05"/>
    <w:rsid w:val="004313EA"/>
    <w:rsid w:val="0044071E"/>
    <w:rsid w:val="0044270E"/>
    <w:rsid w:val="0044329C"/>
    <w:rsid w:val="00444050"/>
    <w:rsid w:val="00446FBF"/>
    <w:rsid w:val="00453E24"/>
    <w:rsid w:val="00454C64"/>
    <w:rsid w:val="00457456"/>
    <w:rsid w:val="004577FE"/>
    <w:rsid w:val="00457B9C"/>
    <w:rsid w:val="0046164A"/>
    <w:rsid w:val="00461AE7"/>
    <w:rsid w:val="004628D2"/>
    <w:rsid w:val="00462DCD"/>
    <w:rsid w:val="004648AD"/>
    <w:rsid w:val="004703A9"/>
    <w:rsid w:val="00474972"/>
    <w:rsid w:val="00475C97"/>
    <w:rsid w:val="004760DE"/>
    <w:rsid w:val="004763D7"/>
    <w:rsid w:val="004806D2"/>
    <w:rsid w:val="004A004E"/>
    <w:rsid w:val="004A24CF"/>
    <w:rsid w:val="004A57F0"/>
    <w:rsid w:val="004C3D1D"/>
    <w:rsid w:val="004C705A"/>
    <w:rsid w:val="004C716E"/>
    <w:rsid w:val="004C7913"/>
    <w:rsid w:val="004D3B6D"/>
    <w:rsid w:val="004E0CD0"/>
    <w:rsid w:val="004E4A05"/>
    <w:rsid w:val="004E4DD6"/>
    <w:rsid w:val="004F30D3"/>
    <w:rsid w:val="004F5E36"/>
    <w:rsid w:val="004F7619"/>
    <w:rsid w:val="00504213"/>
    <w:rsid w:val="00507B47"/>
    <w:rsid w:val="00507BEF"/>
    <w:rsid w:val="00507CC9"/>
    <w:rsid w:val="005119A5"/>
    <w:rsid w:val="00512D98"/>
    <w:rsid w:val="00517017"/>
    <w:rsid w:val="0052232B"/>
    <w:rsid w:val="00523F99"/>
    <w:rsid w:val="00524520"/>
    <w:rsid w:val="00524854"/>
    <w:rsid w:val="005278B7"/>
    <w:rsid w:val="005308F9"/>
    <w:rsid w:val="00532016"/>
    <w:rsid w:val="00533C59"/>
    <w:rsid w:val="005346C8"/>
    <w:rsid w:val="00543E7D"/>
    <w:rsid w:val="005465AD"/>
    <w:rsid w:val="00547A68"/>
    <w:rsid w:val="00550A07"/>
    <w:rsid w:val="005531C9"/>
    <w:rsid w:val="0056445A"/>
    <w:rsid w:val="00565775"/>
    <w:rsid w:val="00570C43"/>
    <w:rsid w:val="00573C3F"/>
    <w:rsid w:val="00581087"/>
    <w:rsid w:val="005913B8"/>
    <w:rsid w:val="005A0BBD"/>
    <w:rsid w:val="005A259F"/>
    <w:rsid w:val="005B2110"/>
    <w:rsid w:val="005B61E6"/>
    <w:rsid w:val="005C77E1"/>
    <w:rsid w:val="005D32AF"/>
    <w:rsid w:val="005D668A"/>
    <w:rsid w:val="005D6A2F"/>
    <w:rsid w:val="005D6EA2"/>
    <w:rsid w:val="005E1A82"/>
    <w:rsid w:val="005E5B55"/>
    <w:rsid w:val="005E794C"/>
    <w:rsid w:val="005F07C2"/>
    <w:rsid w:val="005F0A28"/>
    <w:rsid w:val="005F0E5E"/>
    <w:rsid w:val="00600535"/>
    <w:rsid w:val="00610CD6"/>
    <w:rsid w:val="00611ECA"/>
    <w:rsid w:val="00620DEE"/>
    <w:rsid w:val="00621F92"/>
    <w:rsid w:val="0062280A"/>
    <w:rsid w:val="00625639"/>
    <w:rsid w:val="00626001"/>
    <w:rsid w:val="006262CA"/>
    <w:rsid w:val="00631B33"/>
    <w:rsid w:val="0064184D"/>
    <w:rsid w:val="006422CC"/>
    <w:rsid w:val="00645CFF"/>
    <w:rsid w:val="0064630D"/>
    <w:rsid w:val="00647BFD"/>
    <w:rsid w:val="00647EAE"/>
    <w:rsid w:val="006605F5"/>
    <w:rsid w:val="00660E3E"/>
    <w:rsid w:val="00662E74"/>
    <w:rsid w:val="006630DE"/>
    <w:rsid w:val="0066311A"/>
    <w:rsid w:val="006666BC"/>
    <w:rsid w:val="00680C23"/>
    <w:rsid w:val="006857D2"/>
    <w:rsid w:val="006871AB"/>
    <w:rsid w:val="00693766"/>
    <w:rsid w:val="006A3281"/>
    <w:rsid w:val="006A356D"/>
    <w:rsid w:val="006A6C8A"/>
    <w:rsid w:val="006B4888"/>
    <w:rsid w:val="006B4948"/>
    <w:rsid w:val="006C2E45"/>
    <w:rsid w:val="006C359C"/>
    <w:rsid w:val="006C5579"/>
    <w:rsid w:val="006C5F6D"/>
    <w:rsid w:val="006D14AA"/>
    <w:rsid w:val="006D1BD8"/>
    <w:rsid w:val="006D6E8B"/>
    <w:rsid w:val="006E1808"/>
    <w:rsid w:val="006E50AE"/>
    <w:rsid w:val="006E737D"/>
    <w:rsid w:val="006F1E92"/>
    <w:rsid w:val="006F78CC"/>
    <w:rsid w:val="00701598"/>
    <w:rsid w:val="00703722"/>
    <w:rsid w:val="0070522C"/>
    <w:rsid w:val="00713973"/>
    <w:rsid w:val="00717ECF"/>
    <w:rsid w:val="00720A24"/>
    <w:rsid w:val="00727D7F"/>
    <w:rsid w:val="00732386"/>
    <w:rsid w:val="0073296C"/>
    <w:rsid w:val="00734161"/>
    <w:rsid w:val="0073514D"/>
    <w:rsid w:val="007405E5"/>
    <w:rsid w:val="00742197"/>
    <w:rsid w:val="007447F3"/>
    <w:rsid w:val="00751483"/>
    <w:rsid w:val="00751820"/>
    <w:rsid w:val="0075499F"/>
    <w:rsid w:val="007661C8"/>
    <w:rsid w:val="00766A09"/>
    <w:rsid w:val="00767328"/>
    <w:rsid w:val="0077098D"/>
    <w:rsid w:val="00772556"/>
    <w:rsid w:val="00787B2E"/>
    <w:rsid w:val="007931FA"/>
    <w:rsid w:val="0079369C"/>
    <w:rsid w:val="007938DB"/>
    <w:rsid w:val="007956EB"/>
    <w:rsid w:val="007A4861"/>
    <w:rsid w:val="007A5494"/>
    <w:rsid w:val="007A7BBA"/>
    <w:rsid w:val="007B0C50"/>
    <w:rsid w:val="007B14A7"/>
    <w:rsid w:val="007B48F9"/>
    <w:rsid w:val="007B5E1B"/>
    <w:rsid w:val="007C125D"/>
    <w:rsid w:val="007C1A43"/>
    <w:rsid w:val="007C1E92"/>
    <w:rsid w:val="007C3FBB"/>
    <w:rsid w:val="007D14B8"/>
    <w:rsid w:val="007D300C"/>
    <w:rsid w:val="007D4DE0"/>
    <w:rsid w:val="007D7E25"/>
    <w:rsid w:val="007E7804"/>
    <w:rsid w:val="007F760E"/>
    <w:rsid w:val="0080013E"/>
    <w:rsid w:val="00806E46"/>
    <w:rsid w:val="00812AB2"/>
    <w:rsid w:val="00813288"/>
    <w:rsid w:val="008168FC"/>
    <w:rsid w:val="00822E76"/>
    <w:rsid w:val="00823037"/>
    <w:rsid w:val="00824A6F"/>
    <w:rsid w:val="00830996"/>
    <w:rsid w:val="008345F1"/>
    <w:rsid w:val="00835181"/>
    <w:rsid w:val="00835C10"/>
    <w:rsid w:val="008368CF"/>
    <w:rsid w:val="00845816"/>
    <w:rsid w:val="00855C85"/>
    <w:rsid w:val="0085726E"/>
    <w:rsid w:val="00865B07"/>
    <w:rsid w:val="008667EA"/>
    <w:rsid w:val="00867D3E"/>
    <w:rsid w:val="0087637F"/>
    <w:rsid w:val="00882C9B"/>
    <w:rsid w:val="008913FD"/>
    <w:rsid w:val="00892AD5"/>
    <w:rsid w:val="008A1512"/>
    <w:rsid w:val="008A3D1E"/>
    <w:rsid w:val="008B2200"/>
    <w:rsid w:val="008C354E"/>
    <w:rsid w:val="008C4133"/>
    <w:rsid w:val="008C4A09"/>
    <w:rsid w:val="008C4FEA"/>
    <w:rsid w:val="008C62CD"/>
    <w:rsid w:val="008D32B9"/>
    <w:rsid w:val="008D433B"/>
    <w:rsid w:val="008D505C"/>
    <w:rsid w:val="008D5470"/>
    <w:rsid w:val="008E566E"/>
    <w:rsid w:val="008F0359"/>
    <w:rsid w:val="008F535D"/>
    <w:rsid w:val="00900553"/>
    <w:rsid w:val="0090161A"/>
    <w:rsid w:val="00901EB6"/>
    <w:rsid w:val="00904C62"/>
    <w:rsid w:val="009138A8"/>
    <w:rsid w:val="009225F6"/>
    <w:rsid w:val="00922BA8"/>
    <w:rsid w:val="00924DAC"/>
    <w:rsid w:val="009252EA"/>
    <w:rsid w:val="00927058"/>
    <w:rsid w:val="00942750"/>
    <w:rsid w:val="009450CE"/>
    <w:rsid w:val="0094589A"/>
    <w:rsid w:val="00947179"/>
    <w:rsid w:val="0095164B"/>
    <w:rsid w:val="00954090"/>
    <w:rsid w:val="009573E7"/>
    <w:rsid w:val="00961B52"/>
    <w:rsid w:val="00963E05"/>
    <w:rsid w:val="00964A45"/>
    <w:rsid w:val="00967843"/>
    <w:rsid w:val="00967D54"/>
    <w:rsid w:val="00971028"/>
    <w:rsid w:val="00977366"/>
    <w:rsid w:val="00984186"/>
    <w:rsid w:val="00992598"/>
    <w:rsid w:val="00993B84"/>
    <w:rsid w:val="0099596F"/>
    <w:rsid w:val="00996483"/>
    <w:rsid w:val="00996F5A"/>
    <w:rsid w:val="00997210"/>
    <w:rsid w:val="009A07C4"/>
    <w:rsid w:val="009A09E8"/>
    <w:rsid w:val="009A317E"/>
    <w:rsid w:val="009B041A"/>
    <w:rsid w:val="009B5B2F"/>
    <w:rsid w:val="009B7CE4"/>
    <w:rsid w:val="009C04F7"/>
    <w:rsid w:val="009C37C3"/>
    <w:rsid w:val="009C7C86"/>
    <w:rsid w:val="009D2FF7"/>
    <w:rsid w:val="009E074D"/>
    <w:rsid w:val="009E39AC"/>
    <w:rsid w:val="009E7884"/>
    <w:rsid w:val="009E788A"/>
    <w:rsid w:val="009F0E08"/>
    <w:rsid w:val="00A0120A"/>
    <w:rsid w:val="00A01C6A"/>
    <w:rsid w:val="00A10FC1"/>
    <w:rsid w:val="00A14FFB"/>
    <w:rsid w:val="00A1763D"/>
    <w:rsid w:val="00A17CEC"/>
    <w:rsid w:val="00A200DF"/>
    <w:rsid w:val="00A2161A"/>
    <w:rsid w:val="00A2220D"/>
    <w:rsid w:val="00A237AB"/>
    <w:rsid w:val="00A27EF0"/>
    <w:rsid w:val="00A31B22"/>
    <w:rsid w:val="00A42361"/>
    <w:rsid w:val="00A44744"/>
    <w:rsid w:val="00A50B20"/>
    <w:rsid w:val="00A51390"/>
    <w:rsid w:val="00A60D13"/>
    <w:rsid w:val="00A72745"/>
    <w:rsid w:val="00A76EFC"/>
    <w:rsid w:val="00A814D8"/>
    <w:rsid w:val="00A84AE8"/>
    <w:rsid w:val="00A90F8D"/>
    <w:rsid w:val="00A91010"/>
    <w:rsid w:val="00A97F29"/>
    <w:rsid w:val="00AA44AA"/>
    <w:rsid w:val="00AA702E"/>
    <w:rsid w:val="00AB0964"/>
    <w:rsid w:val="00AB5011"/>
    <w:rsid w:val="00AC7368"/>
    <w:rsid w:val="00AD16B9"/>
    <w:rsid w:val="00AD3DC5"/>
    <w:rsid w:val="00AE0A6F"/>
    <w:rsid w:val="00AE377D"/>
    <w:rsid w:val="00AE6573"/>
    <w:rsid w:val="00AE6EBC"/>
    <w:rsid w:val="00AF0EBA"/>
    <w:rsid w:val="00AF3AE7"/>
    <w:rsid w:val="00B01148"/>
    <w:rsid w:val="00B02C8A"/>
    <w:rsid w:val="00B11E65"/>
    <w:rsid w:val="00B17FBD"/>
    <w:rsid w:val="00B315A6"/>
    <w:rsid w:val="00B31813"/>
    <w:rsid w:val="00B33365"/>
    <w:rsid w:val="00B333FD"/>
    <w:rsid w:val="00B42395"/>
    <w:rsid w:val="00B43B83"/>
    <w:rsid w:val="00B57B36"/>
    <w:rsid w:val="00B57E6F"/>
    <w:rsid w:val="00B607F5"/>
    <w:rsid w:val="00B6682C"/>
    <w:rsid w:val="00B744F9"/>
    <w:rsid w:val="00B837D6"/>
    <w:rsid w:val="00B8686D"/>
    <w:rsid w:val="00B9137C"/>
    <w:rsid w:val="00B93F69"/>
    <w:rsid w:val="00BB1DDC"/>
    <w:rsid w:val="00BB3DE0"/>
    <w:rsid w:val="00BB63AB"/>
    <w:rsid w:val="00BC30C9"/>
    <w:rsid w:val="00BD077D"/>
    <w:rsid w:val="00BD2716"/>
    <w:rsid w:val="00BE3E58"/>
    <w:rsid w:val="00BF77A8"/>
    <w:rsid w:val="00C01616"/>
    <w:rsid w:val="00C0162B"/>
    <w:rsid w:val="00C068ED"/>
    <w:rsid w:val="00C107DD"/>
    <w:rsid w:val="00C20564"/>
    <w:rsid w:val="00C22E0C"/>
    <w:rsid w:val="00C23842"/>
    <w:rsid w:val="00C25A3B"/>
    <w:rsid w:val="00C2754F"/>
    <w:rsid w:val="00C34260"/>
    <w:rsid w:val="00C345B1"/>
    <w:rsid w:val="00C37F7C"/>
    <w:rsid w:val="00C40142"/>
    <w:rsid w:val="00C441A2"/>
    <w:rsid w:val="00C46461"/>
    <w:rsid w:val="00C52C3C"/>
    <w:rsid w:val="00C561BB"/>
    <w:rsid w:val="00C57182"/>
    <w:rsid w:val="00C57863"/>
    <w:rsid w:val="00C653CF"/>
    <w:rsid w:val="00C655FD"/>
    <w:rsid w:val="00C75407"/>
    <w:rsid w:val="00C870A8"/>
    <w:rsid w:val="00C90A7A"/>
    <w:rsid w:val="00C94434"/>
    <w:rsid w:val="00CA0D75"/>
    <w:rsid w:val="00CA1C95"/>
    <w:rsid w:val="00CA5A9C"/>
    <w:rsid w:val="00CC4C20"/>
    <w:rsid w:val="00CD248D"/>
    <w:rsid w:val="00CD3517"/>
    <w:rsid w:val="00CD5FE2"/>
    <w:rsid w:val="00CE7C68"/>
    <w:rsid w:val="00CF3837"/>
    <w:rsid w:val="00D02B4C"/>
    <w:rsid w:val="00D040C4"/>
    <w:rsid w:val="00D13A58"/>
    <w:rsid w:val="00D14913"/>
    <w:rsid w:val="00D175EF"/>
    <w:rsid w:val="00D17B89"/>
    <w:rsid w:val="00D25E28"/>
    <w:rsid w:val="00D44BE2"/>
    <w:rsid w:val="00D46B7E"/>
    <w:rsid w:val="00D573E3"/>
    <w:rsid w:val="00D57C84"/>
    <w:rsid w:val="00D6057D"/>
    <w:rsid w:val="00D705A4"/>
    <w:rsid w:val="00D71640"/>
    <w:rsid w:val="00D74750"/>
    <w:rsid w:val="00D77033"/>
    <w:rsid w:val="00D80938"/>
    <w:rsid w:val="00D836C5"/>
    <w:rsid w:val="00D84576"/>
    <w:rsid w:val="00D915A9"/>
    <w:rsid w:val="00DA1399"/>
    <w:rsid w:val="00DA24C6"/>
    <w:rsid w:val="00DA4D7B"/>
    <w:rsid w:val="00DB6A49"/>
    <w:rsid w:val="00DC19CA"/>
    <w:rsid w:val="00DC2373"/>
    <w:rsid w:val="00DD14B0"/>
    <w:rsid w:val="00DD50A4"/>
    <w:rsid w:val="00DE264A"/>
    <w:rsid w:val="00DE27C0"/>
    <w:rsid w:val="00DF5072"/>
    <w:rsid w:val="00E02D18"/>
    <w:rsid w:val="00E041E7"/>
    <w:rsid w:val="00E04207"/>
    <w:rsid w:val="00E07B3D"/>
    <w:rsid w:val="00E12B06"/>
    <w:rsid w:val="00E23CA1"/>
    <w:rsid w:val="00E2633E"/>
    <w:rsid w:val="00E273DB"/>
    <w:rsid w:val="00E37885"/>
    <w:rsid w:val="00E404C3"/>
    <w:rsid w:val="00E409A8"/>
    <w:rsid w:val="00E476B4"/>
    <w:rsid w:val="00E50C12"/>
    <w:rsid w:val="00E65B91"/>
    <w:rsid w:val="00E67F41"/>
    <w:rsid w:val="00E71F95"/>
    <w:rsid w:val="00E7209D"/>
    <w:rsid w:val="00E72536"/>
    <w:rsid w:val="00E72EAD"/>
    <w:rsid w:val="00E77223"/>
    <w:rsid w:val="00E81228"/>
    <w:rsid w:val="00E8528B"/>
    <w:rsid w:val="00E85B94"/>
    <w:rsid w:val="00E86332"/>
    <w:rsid w:val="00E96F62"/>
    <w:rsid w:val="00E978D0"/>
    <w:rsid w:val="00EA4613"/>
    <w:rsid w:val="00EA7F91"/>
    <w:rsid w:val="00EB1523"/>
    <w:rsid w:val="00EC0E49"/>
    <w:rsid w:val="00EC101F"/>
    <w:rsid w:val="00EC1D9F"/>
    <w:rsid w:val="00EC1F62"/>
    <w:rsid w:val="00EC656E"/>
    <w:rsid w:val="00ED21AF"/>
    <w:rsid w:val="00EE0131"/>
    <w:rsid w:val="00EE17B0"/>
    <w:rsid w:val="00EE515B"/>
    <w:rsid w:val="00EF06D9"/>
    <w:rsid w:val="00EF3351"/>
    <w:rsid w:val="00EF68E8"/>
    <w:rsid w:val="00F0216F"/>
    <w:rsid w:val="00F03BD2"/>
    <w:rsid w:val="00F13438"/>
    <w:rsid w:val="00F1373D"/>
    <w:rsid w:val="00F23893"/>
    <w:rsid w:val="00F24865"/>
    <w:rsid w:val="00F277BB"/>
    <w:rsid w:val="00F30C64"/>
    <w:rsid w:val="00F32BA2"/>
    <w:rsid w:val="00F32CDB"/>
    <w:rsid w:val="00F40100"/>
    <w:rsid w:val="00F4570D"/>
    <w:rsid w:val="00F53B98"/>
    <w:rsid w:val="00F565FE"/>
    <w:rsid w:val="00F63A70"/>
    <w:rsid w:val="00F658ED"/>
    <w:rsid w:val="00F7534E"/>
    <w:rsid w:val="00F80236"/>
    <w:rsid w:val="00F86930"/>
    <w:rsid w:val="00F90722"/>
    <w:rsid w:val="00FA1802"/>
    <w:rsid w:val="00FA21D0"/>
    <w:rsid w:val="00FA5F5F"/>
    <w:rsid w:val="00FA6F35"/>
    <w:rsid w:val="00FB1869"/>
    <w:rsid w:val="00FB4A10"/>
    <w:rsid w:val="00FB566A"/>
    <w:rsid w:val="00FB6AD7"/>
    <w:rsid w:val="00FB730C"/>
    <w:rsid w:val="00FC0601"/>
    <w:rsid w:val="00FC18BE"/>
    <w:rsid w:val="00FC2695"/>
    <w:rsid w:val="00FC3E03"/>
    <w:rsid w:val="00FC3FC1"/>
    <w:rsid w:val="00FC56DD"/>
    <w:rsid w:val="00FC6D28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|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0216F"/>
    <w:pPr>
      <w:keepNext/>
      <w:suppressAutoHyphens/>
      <w:spacing w:before="120" w:after="120" w:line="240" w:lineRule="auto"/>
      <w:jc w:val="both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0216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1F62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C25A3B"/>
    <w:rPr>
      <w:color w:val="808080"/>
    </w:rPr>
  </w:style>
  <w:style w:type="paragraph" w:styleId="Revisione">
    <w:name w:val="Revision"/>
    <w:hidden/>
    <w:uiPriority w:val="99"/>
    <w:semiHidden/>
    <w:rsid w:val="00AE6EBC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F50F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62CD"/>
    <w:rPr>
      <w:color w:val="800080" w:themeColor="followedHyperlink"/>
      <w:u w:val="single"/>
    </w:rPr>
  </w:style>
  <w:style w:type="table" w:styleId="Tabellasemplice-2">
    <w:name w:val="Plain Table 2"/>
    <w:basedOn w:val="Tabellanormale"/>
    <w:uiPriority w:val="42"/>
    <w:rsid w:val="008D54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ea.org/data-and-statistics/data-browser/?country=WORLD&amp;fuel=Energy%20supply&amp;indicator=TESbySour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roberto.solimene@stems.cn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B580-FBFC-4098-A15E-2752CB36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3552</Words>
  <Characters>20248</Characters>
  <Application>Microsoft Office Word</Application>
  <DocSecurity>0</DocSecurity>
  <Lines>168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Sauro Pierucci</cp:lastModifiedBy>
  <cp:revision>2</cp:revision>
  <cp:lastPrinted>2015-05-12T18:31:00Z</cp:lastPrinted>
  <dcterms:created xsi:type="dcterms:W3CDTF">2022-04-19T08:15:00Z</dcterms:created>
  <dcterms:modified xsi:type="dcterms:W3CDTF">2022-04-19T08:15:00Z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endeley Document_1">
    <vt:lpwstr>True</vt:lpwstr>
  </property>
  <property fmtid="{D5CDD505-2E9C-101B-9397-08002B2CF9AE}" pid="5" name="Mendeley Unique User Id_1">
    <vt:lpwstr>20514244-93c9-322e-bc42-ed271ea0559c</vt:lpwstr>
  </property>
  <property fmtid="{D5CDD505-2E9C-101B-9397-08002B2CF9AE}" pid="6" name="Mendeley Citation Style_1">
    <vt:lpwstr>http://www.zotero.org/styles/chemical-engineering-journal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 11th edition</vt:lpwstr>
  </property>
  <property fmtid="{D5CDD505-2E9C-101B-9397-08002B2CF9AE}" pid="9" name="Mendeley Recent Style Id 1_1">
    <vt:lpwstr>http://www.zotero.org/styles/biochemical-engineering-journal</vt:lpwstr>
  </property>
  <property fmtid="{D5CDD505-2E9C-101B-9397-08002B2CF9AE}" pid="10" name="Mendeley Recent Style Name 1_1">
    <vt:lpwstr>Biochemical Engineering Journal</vt:lpwstr>
  </property>
  <property fmtid="{D5CDD505-2E9C-101B-9397-08002B2CF9AE}" pid="11" name="Mendeley Recent Style Id 2_1">
    <vt:lpwstr>http://www.zotero.org/styles/biochemical-society-transactions</vt:lpwstr>
  </property>
  <property fmtid="{D5CDD505-2E9C-101B-9397-08002B2CF9AE}" pid="12" name="Mendeley Recent Style Name 2_1">
    <vt:lpwstr>Biochemical Society Transactions</vt:lpwstr>
  </property>
  <property fmtid="{D5CDD505-2E9C-101B-9397-08002B2CF9AE}" pid="13" name="Mendeley Recent Style Id 3_1">
    <vt:lpwstr>http://www.zotero.org/styles/caai-transactions-on-intelligence-technology</vt:lpwstr>
  </property>
  <property fmtid="{D5CDD505-2E9C-101B-9397-08002B2CF9AE}" pid="14" name="Mendeley Recent Style Name 3_1">
    <vt:lpwstr>CAAI Transactions on Intelligence Technology</vt:lpwstr>
  </property>
  <property fmtid="{D5CDD505-2E9C-101B-9397-08002B2CF9AE}" pid="15" name="Mendeley Recent Style Id 4_1">
    <vt:lpwstr>http://www.zotero.org/styles/csi-transactions-on-ict</vt:lpwstr>
  </property>
  <property fmtid="{D5CDD505-2E9C-101B-9397-08002B2CF9AE}" pid="16" name="Mendeley Recent Style Name 4_1">
    <vt:lpwstr>CSI Transactions on ICT</vt:lpwstr>
  </property>
  <property fmtid="{D5CDD505-2E9C-101B-9397-08002B2CF9AE}" pid="17" name="Mendeley Recent Style Id 5_1">
    <vt:lpwstr>http://www.zotero.org/styles/chicago-author-date</vt:lpwstr>
  </property>
  <property fmtid="{D5CDD505-2E9C-101B-9397-08002B2CF9AE}" pid="18" name="Mendeley Recent Style Name 5_1">
    <vt:lpwstr>Chicago Manual of Style 17th edition (author-date)</vt:lpwstr>
  </property>
  <property fmtid="{D5CDD505-2E9C-101B-9397-08002B2CF9AE}" pid="19" name="Mendeley Recent Style Id 6_1">
    <vt:lpwstr>http://www.zotero.org/styles/dalton-transactions</vt:lpwstr>
  </property>
  <property fmtid="{D5CDD505-2E9C-101B-9397-08002B2CF9AE}" pid="20" name="Mendeley Recent Style Name 6_1">
    <vt:lpwstr>Dalton Transactions</vt:lpwstr>
  </property>
  <property fmtid="{D5CDD505-2E9C-101B-9397-08002B2CF9AE}" pid="21" name="Mendeley Recent Style Id 7_1">
    <vt:lpwstr>http://www.zotero.org/styles/geochemical-transactions</vt:lpwstr>
  </property>
  <property fmtid="{D5CDD505-2E9C-101B-9397-08002B2CF9AE}" pid="22" name="Mendeley Recent Style Name 7_1">
    <vt:lpwstr>Geochemical Transactions</vt:lpwstr>
  </property>
  <property fmtid="{D5CDD505-2E9C-101B-9397-08002B2CF9AE}" pid="23" name="Mendeley Recent Style Id 8_1">
    <vt:lpwstr>http://www.zotero.org/styles/ieee-transactions-on-engineering-management</vt:lpwstr>
  </property>
  <property fmtid="{D5CDD505-2E9C-101B-9397-08002B2CF9AE}" pid="24" name="Mendeley Recent Style Name 8_1">
    <vt:lpwstr>IEEE Transactions on Engineering Management</vt:lpwstr>
  </property>
  <property fmtid="{D5CDD505-2E9C-101B-9397-08002B2CF9AE}" pid="25" name="Mendeley Recent Style Id 9_1">
    <vt:lpwstr>http://www.zotero.org/styles/national-library-of-medicine</vt:lpwstr>
  </property>
  <property fmtid="{D5CDD505-2E9C-101B-9397-08002B2CF9AE}" pid="26" name="Mendeley Recent Style Name 9_1">
    <vt:lpwstr>National Library of Medicine</vt:lpwstr>
  </property>
</Properties>
</file>